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300" w:line="360"/>
        <w:ind w:right="0" w:left="0" w:firstLine="0"/>
        <w:jc w:val="center"/>
        <w:rPr>
          <w:rFonts w:ascii="Calibri" w:hAnsi="Calibri" w:cs="Calibri" w:eastAsia="Calibri"/>
          <w:color w:val="auto"/>
          <w:spacing w:val="0"/>
          <w:position w:val="0"/>
          <w:sz w:val="16"/>
          <w:shd w:fill="auto" w:val="clear"/>
        </w:rPr>
      </w:pPr>
      <w:r>
        <w:rPr>
          <w:rFonts w:ascii="Calibri" w:hAnsi="Calibri" w:cs="Calibri" w:eastAsia="Calibri"/>
          <w:b/>
          <w:color w:val="17365D"/>
          <w:spacing w:val="0"/>
          <w:position w:val="0"/>
          <w:sz w:val="60"/>
          <w:u w:val="single"/>
          <w:shd w:fill="auto" w:val="clear"/>
        </w:rPr>
        <w:t xml:space="preserve">Escaux UCS interoperability with IMS Mobistar</w:t>
      </w:r>
      <w:r>
        <w:rPr>
          <w:rFonts w:ascii="Calibri" w:hAnsi="Calibri" w:cs="Calibri" w:eastAsia="Calibri"/>
          <w:color w:val="auto"/>
          <w:spacing w:val="0"/>
          <w:position w:val="0"/>
          <w:sz w:val="16"/>
          <w:shd w:fill="auto" w:val="clear"/>
        </w:rPr>
        <w:t xml:space="preserve"> </w:t>
      </w:r>
    </w:p>
    <w:p>
      <w:pPr>
        <w:spacing w:before="0" w:after="300" w:line="36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80" w:after="200" w:line="276"/>
        <w:ind w:right="0" w:left="357" w:hanging="357"/>
        <w:jc w:val="left"/>
        <w:rPr>
          <w:rFonts w:ascii="Arial" w:hAnsi="Arial" w:cs="Arial" w:eastAsia="Arial"/>
          <w:b/>
          <w:color w:val="365F91"/>
          <w:spacing w:val="0"/>
          <w:position w:val="0"/>
          <w:sz w:val="28"/>
          <w:shd w:fill="auto" w:val="clear"/>
        </w:rPr>
      </w:pPr>
      <w:r>
        <w:rPr>
          <w:rFonts w:ascii="Arial" w:hAnsi="Arial" w:cs="Arial" w:eastAsia="Arial"/>
          <w:b/>
          <w:color w:val="365F91"/>
          <w:spacing w:val="0"/>
          <w:position w:val="0"/>
          <w:sz w:val="28"/>
          <w:shd w:fill="auto" w:val="clear"/>
        </w:rPr>
        <w:t xml:space="preserve">Document Control</w:t>
      </w:r>
    </w:p>
    <w:tbl>
      <w:tblPr/>
      <w:tblGrid>
        <w:gridCol w:w="1668"/>
        <w:gridCol w:w="1984"/>
        <w:gridCol w:w="5591"/>
      </w:tblGrid>
      <w:tr>
        <w:trPr>
          <w:trHeight w:val="1" w:hRule="atLeast"/>
          <w:jc w:val="center"/>
        </w:trPr>
        <w:tc>
          <w:tcPr>
            <w:tcW w:w="16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Version</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Date</w:t>
            </w:r>
          </w:p>
        </w:tc>
        <w:tc>
          <w:tcPr>
            <w:tcW w:w="55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Notes</w:t>
            </w:r>
          </w:p>
        </w:tc>
      </w:tr>
      <w:tr>
        <w:trPr>
          <w:trHeight w:val="1" w:hRule="atLeast"/>
          <w:jc w:val="center"/>
        </w:trPr>
        <w:tc>
          <w:tcPr>
            <w:tcW w:w="16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0.1</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08/07/2014</w:t>
            </w:r>
          </w:p>
        </w:tc>
        <w:tc>
          <w:tcPr>
            <w:tcW w:w="55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First draft</w:t>
            </w:r>
          </w:p>
        </w:tc>
      </w:tr>
      <w:tr>
        <w:trPr>
          <w:trHeight w:val="1" w:hRule="atLeast"/>
          <w:jc w:val="center"/>
        </w:trPr>
        <w:tc>
          <w:tcPr>
            <w:tcW w:w="16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1.0</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11/07/2014</w:t>
            </w:r>
          </w:p>
        </w:tc>
        <w:tc>
          <w:tcPr>
            <w:tcW w:w="55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Review by Dominique Bogaerts (Escaux)</w:t>
            </w:r>
          </w:p>
        </w:tc>
      </w:tr>
      <w:tr>
        <w:trPr>
          <w:trHeight w:val="1" w:hRule="atLeast"/>
          <w:jc w:val="center"/>
        </w:trPr>
        <w:tc>
          <w:tcPr>
            <w:tcW w:w="1668"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1.1</w:t>
            </w:r>
          </w:p>
        </w:tc>
        <w:tc>
          <w:tcPr>
            <w:tcW w:w="1984"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08/12/2014</w:t>
            </w:r>
          </w:p>
        </w:tc>
        <w:tc>
          <w:tcPr>
            <w:tcW w:w="5591"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ESCAUX SIP Trunk settings Updated by Bogaerts (ESCAUX)</w:t>
            </w:r>
          </w:p>
        </w:tc>
      </w:tr>
    </w:tbl>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80" w:after="200" w:line="276"/>
        <w:ind w:right="0" w:left="357" w:hanging="357"/>
        <w:jc w:val="left"/>
        <w:rPr>
          <w:rFonts w:ascii="Arial" w:hAnsi="Arial" w:cs="Arial" w:eastAsia="Arial"/>
          <w:b/>
          <w:color w:val="365F91"/>
          <w:spacing w:val="0"/>
          <w:position w:val="0"/>
          <w:sz w:val="28"/>
          <w:shd w:fill="auto" w:val="clear"/>
        </w:rPr>
      </w:pPr>
      <w:r>
        <w:rPr>
          <w:rFonts w:ascii="Arial" w:hAnsi="Arial" w:cs="Arial" w:eastAsia="Arial"/>
          <w:b/>
          <w:color w:val="365F91"/>
          <w:spacing w:val="0"/>
          <w:position w:val="0"/>
          <w:sz w:val="28"/>
          <w:shd w:fill="auto" w:val="clear"/>
        </w:rPr>
        <w:t xml:space="preserve">Contact</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 inquiries related to the feature described in this document can be emailed to support@netaxis.be.</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This document will not be transmitted to customer integrally, the needed chapter have to be extracted and for the customer &amp; other Mobistar parties than engineering the only technical Point of contact is Mobistar Network IMS Engineering </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80" w:after="200" w:line="240"/>
        <w:ind w:right="0" w:left="0" w:firstLine="0"/>
        <w:jc w:val="both"/>
        <w:rPr>
          <w:rFonts w:ascii="Calibri" w:hAnsi="Calibri" w:cs="Calibri" w:eastAsia="Calibri"/>
          <w:color w:val="auto"/>
          <w:spacing w:val="0"/>
          <w:position w:val="0"/>
          <w:sz w:val="22"/>
          <w:shd w:fill="auto" w:val="clear"/>
        </w:rPr>
      </w:pPr>
    </w:p>
    <w:p>
      <w:pPr>
        <w:spacing w:before="480" w:after="200" w:line="240"/>
        <w:ind w:right="0" w:left="0" w:firstLine="0"/>
        <w:jc w:val="both"/>
        <w:rPr>
          <w:rFonts w:ascii="Arial" w:hAnsi="Arial" w:cs="Arial" w:eastAsia="Arial"/>
          <w:b/>
          <w:color w:val="365F91"/>
          <w:spacing w:val="0"/>
          <w:position w:val="0"/>
          <w:sz w:val="28"/>
          <w:shd w:fill="auto" w:val="clear"/>
        </w:rPr>
      </w:pPr>
      <w:r>
        <w:rPr>
          <w:rFonts w:ascii="Arial" w:hAnsi="Arial" w:cs="Arial" w:eastAsia="Arial"/>
          <w:b/>
          <w:color w:val="365F91"/>
          <w:spacing w:val="0"/>
          <w:position w:val="0"/>
          <w:sz w:val="28"/>
          <w:shd w:fill="auto" w:val="clear"/>
        </w:rPr>
        <w:t xml:space="preserve">Acronyms</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DDI : Direct Dial In number</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IMS : IP Multimedia Subsystem</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LAN : Local Area Network</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SDP: Session Description Protocol</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SIP: Session Initiation Protocol</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UCS: Unified Communication Solution</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80" w:after="200" w:line="240"/>
        <w:ind w:right="0" w:left="0" w:firstLine="0"/>
        <w:jc w:val="both"/>
        <w:rPr>
          <w:rFonts w:ascii="Arial" w:hAnsi="Arial" w:cs="Arial" w:eastAsia="Arial"/>
          <w:b/>
          <w:color w:val="365F91"/>
          <w:spacing w:val="0"/>
          <w:position w:val="0"/>
          <w:sz w:val="28"/>
          <w:shd w:fill="auto" w:val="clear"/>
        </w:rPr>
      </w:pPr>
      <w:r>
        <w:rPr>
          <w:rFonts w:ascii="Arial" w:hAnsi="Arial" w:cs="Arial" w:eastAsia="Arial"/>
          <w:b/>
          <w:color w:val="365F91"/>
          <w:spacing w:val="0"/>
          <w:position w:val="0"/>
          <w:sz w:val="28"/>
          <w:shd w:fill="auto" w:val="clear"/>
        </w:rPr>
        <w:t xml:space="preserve">References</w:t>
      </w:r>
    </w:p>
    <w:tbl>
      <w:tblPr/>
      <w:tblGrid>
        <w:gridCol w:w="800"/>
        <w:gridCol w:w="6644"/>
        <w:gridCol w:w="914"/>
      </w:tblGrid>
      <w:tr>
        <w:trPr>
          <w:trHeight w:val="373" w:hRule="auto"/>
          <w:jc w:val="center"/>
        </w:trPr>
        <w:tc>
          <w:tcPr>
            <w:tcW w:w="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Title</w:t>
            </w:r>
          </w:p>
        </w:tc>
        <w:tc>
          <w:tcPr>
            <w:tcW w:w="9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Version</w:t>
            </w:r>
          </w:p>
        </w:tc>
      </w:tr>
      <w:tr>
        <w:trPr>
          <w:trHeight w:val="1" w:hRule="atLeast"/>
          <w:jc w:val="center"/>
        </w:trPr>
        <w:tc>
          <w:tcPr>
            <w:tcW w:w="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p>
        </w:tc>
        <w:tc>
          <w:tcPr>
            <w:tcW w:w="6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Escaux Administration Guide: Unified Communication Solution 4.10.</w:t>
            </w:r>
          </w:p>
          <w:p>
            <w:pPr>
              <w:spacing w:before="0" w:after="0" w:line="240"/>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0">
              <w:r>
                <w:rPr>
                  <w:rFonts w:ascii="Calibri" w:hAnsi="Calibri" w:cs="Calibri" w:eastAsia="Calibri"/>
                  <w:color w:val="0000FF"/>
                  <w:spacing w:val="0"/>
                  <w:position w:val="0"/>
                  <w:sz w:val="22"/>
                  <w:u w:val="single"/>
                  <w:shd w:fill="auto" w:val="clear"/>
                </w:rPr>
                <w:t xml:space="preserve">https://www.escaux.com/docs/SmpAdminGuide4d10.html</w:t>
              </w:r>
            </w:hyperlink>
          </w:p>
        </w:tc>
        <w:tc>
          <w:tcPr>
            <w:tcW w:w="9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2.2</w:t>
            </w:r>
          </w:p>
        </w:tc>
      </w:tr>
      <w:tr>
        <w:trPr>
          <w:trHeight w:val="1" w:hRule="atLeast"/>
          <w:jc w:val="center"/>
        </w:trPr>
        <w:tc>
          <w:tcPr>
            <w:tcW w:w="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80" w:after="200" w:line="240"/>
        <w:ind w:right="0" w:left="0" w:firstLine="0"/>
        <w:jc w:val="both"/>
        <w:rPr>
          <w:rFonts w:ascii="Arial" w:hAnsi="Arial" w:cs="Arial" w:eastAsia="Arial"/>
          <w:b/>
          <w:color w:val="365F91"/>
          <w:spacing w:val="0"/>
          <w:position w:val="0"/>
          <w:sz w:val="28"/>
          <w:shd w:fill="auto" w:val="clear"/>
        </w:rPr>
      </w:pPr>
      <w:r>
        <w:rPr>
          <w:rFonts w:ascii="Arial" w:hAnsi="Arial" w:cs="Arial" w:eastAsia="Arial"/>
          <w:b/>
          <w:color w:val="365F91"/>
          <w:spacing w:val="0"/>
          <w:position w:val="0"/>
          <w:sz w:val="28"/>
          <w:shd w:fill="auto" w:val="clear"/>
        </w:rPr>
        <w:t xml:space="preserve">Introduction</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purpose of this document is to provide configuration guidelines for connecting the Unified Communication Solution of Escaux (UCS) to the Mobistar IMS infrastructure.</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document does not deal with IP Telephony LAN design. More details are available in [1].</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00" w:after="200" w:line="240"/>
        <w:ind w:right="0" w:left="0" w:firstLine="0"/>
        <w:jc w:val="both"/>
        <w:rPr>
          <w:rFonts w:ascii="Arial" w:hAnsi="Arial" w:cs="Arial" w:eastAsia="Arial"/>
          <w:b/>
          <w:color w:val="3F70AB"/>
          <w:spacing w:val="0"/>
          <w:position w:val="0"/>
          <w:sz w:val="26"/>
          <w:shd w:fill="auto" w:val="clear"/>
        </w:rPr>
      </w:pPr>
      <w:r>
        <w:rPr>
          <w:rFonts w:ascii="Arial" w:hAnsi="Arial" w:cs="Arial" w:eastAsia="Arial"/>
          <w:b/>
          <w:color w:val="3F70AB"/>
          <w:spacing w:val="0"/>
          <w:position w:val="0"/>
          <w:sz w:val="26"/>
          <w:shd w:fill="auto" w:val="clear"/>
        </w:rPr>
        <w:t xml:space="preserve">Definition: </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Inbound call: </w:t>
      </w:r>
      <w:r>
        <w:rPr>
          <w:rFonts w:ascii="Calibri" w:hAnsi="Calibri" w:cs="Calibri" w:eastAsia="Calibri"/>
          <w:color w:val="auto"/>
          <w:spacing w:val="0"/>
          <w:position w:val="0"/>
          <w:sz w:val="22"/>
          <w:shd w:fill="auto" w:val="clear"/>
        </w:rPr>
        <w:t xml:space="preserve">call from IMS to UCS</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Outbound call:</w:t>
      </w:r>
      <w:r>
        <w:rPr>
          <w:rFonts w:ascii="Calibri" w:hAnsi="Calibri" w:cs="Calibri" w:eastAsia="Calibri"/>
          <w:color w:val="auto"/>
          <w:spacing w:val="0"/>
          <w:position w:val="0"/>
          <w:sz w:val="22"/>
          <w:shd w:fill="auto" w:val="clear"/>
        </w:rPr>
        <w:t xml:space="preserve"> call from UCS to IMS</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IMS SIP Trunk</w:t>
      </w:r>
      <w:r>
        <w:rPr>
          <w:rFonts w:ascii="Calibri" w:hAnsi="Calibri" w:cs="Calibri" w:eastAsia="Calibri"/>
          <w:color w:val="auto"/>
          <w:spacing w:val="0"/>
          <w:position w:val="0"/>
          <w:sz w:val="22"/>
          <w:shd w:fill="auto" w:val="clear"/>
        </w:rPr>
        <w:t xml:space="preserve">: the SIP trunk between the UCS and the IMS</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00" w:after="200" w:line="240"/>
        <w:ind w:right="0" w:left="0" w:firstLine="0"/>
        <w:jc w:val="both"/>
        <w:rPr>
          <w:rFonts w:ascii="Arial" w:hAnsi="Arial" w:cs="Arial" w:eastAsia="Arial"/>
          <w:b/>
          <w:color w:val="3F70AB"/>
          <w:spacing w:val="0"/>
          <w:position w:val="0"/>
          <w:sz w:val="26"/>
          <w:shd w:fill="auto" w:val="clear"/>
        </w:rPr>
      </w:pPr>
      <w:r>
        <w:rPr>
          <w:rFonts w:ascii="Arial" w:hAnsi="Arial" w:cs="Arial" w:eastAsia="Arial"/>
          <w:b/>
          <w:color w:val="3F70AB"/>
          <w:spacing w:val="0"/>
          <w:position w:val="0"/>
          <w:sz w:val="26"/>
          <w:shd w:fill="auto" w:val="clear"/>
        </w:rPr>
        <w:t xml:space="preserve">UCS Environment</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purpose of this section is to quickly describe the architecture of Escaux UCS. The UCS is made of Service Operational Points (SOPs) and a Service Management Point (SMP).</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realtime tasks are executed by SOPs. These are appliances that can be installed on-site for connectivity in order to be close to the users. The SOPs can also be installed remotely, as long as the phones and applications can reach them over a network.</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Non-realtime tasks are split off in a centralized web interface: the SMP.</w:t>
      </w:r>
    </w:p>
    <w:p>
      <w:pPr>
        <w:spacing w:before="320" w:after="200" w:line="240"/>
        <w:ind w:right="0" w:left="0" w:firstLine="0"/>
        <w:jc w:val="both"/>
        <w:rPr>
          <w:rFonts w:ascii="Arial" w:hAnsi="Arial" w:cs="Arial" w:eastAsia="Arial"/>
          <w:b/>
          <w:color w:val="4F81BD"/>
          <w:spacing w:val="0"/>
          <w:position w:val="0"/>
          <w:sz w:val="24"/>
          <w:shd w:fill="auto" w:val="clear"/>
        </w:rPr>
      </w:pPr>
      <w:r>
        <w:rPr>
          <w:rFonts w:ascii="Arial" w:hAnsi="Arial" w:cs="Arial" w:eastAsia="Arial"/>
          <w:b/>
          <w:color w:val="4F81BD"/>
          <w:spacing w:val="0"/>
          <w:position w:val="0"/>
          <w:sz w:val="24"/>
          <w:shd w:fill="auto" w:val="clear"/>
        </w:rPr>
        <w:t xml:space="preserve">Software release</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software release of the UCS is 4.10</w:t>
      </w:r>
    </w:p>
    <w:p>
      <w:pPr>
        <w:spacing w:before="480" w:after="200" w:line="240"/>
        <w:ind w:right="0" w:left="0" w:firstLine="0"/>
        <w:jc w:val="both"/>
        <w:rPr>
          <w:rFonts w:ascii="Arial" w:hAnsi="Arial" w:cs="Arial" w:eastAsia="Arial"/>
          <w:b/>
          <w:color w:val="365F91"/>
          <w:spacing w:val="0"/>
          <w:position w:val="0"/>
          <w:sz w:val="28"/>
          <w:shd w:fill="auto" w:val="clear"/>
        </w:rPr>
      </w:pPr>
      <w:r>
        <w:rPr>
          <w:rFonts w:ascii="Arial" w:hAnsi="Arial" w:cs="Arial" w:eastAsia="Arial"/>
          <w:b/>
          <w:color w:val="365F91"/>
          <w:spacing w:val="0"/>
          <w:position w:val="0"/>
          <w:sz w:val="28"/>
          <w:shd w:fill="auto" w:val="clear"/>
        </w:rPr>
        <w:t xml:space="preserve">Solution Design</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This chapter defines the different view of the Solution Design</w:t>
      </w:r>
    </w:p>
    <w:p>
      <w:pPr>
        <w:spacing w:before="400" w:after="200" w:line="240"/>
        <w:ind w:right="0" w:left="0" w:firstLine="0"/>
        <w:jc w:val="both"/>
        <w:rPr>
          <w:rFonts w:ascii="Arial" w:hAnsi="Arial" w:cs="Arial" w:eastAsia="Arial"/>
          <w:b/>
          <w:color w:val="3F70AB"/>
          <w:spacing w:val="0"/>
          <w:position w:val="0"/>
          <w:sz w:val="26"/>
          <w:shd w:fill="auto" w:val="clear"/>
        </w:rPr>
      </w:pPr>
      <w:r>
        <w:rPr>
          <w:rFonts w:ascii="Arial" w:hAnsi="Arial" w:cs="Arial" w:eastAsia="Arial"/>
          <w:b/>
          <w:color w:val="3F70AB"/>
          <w:spacing w:val="0"/>
          <w:position w:val="0"/>
          <w:sz w:val="26"/>
          <w:shd w:fill="auto" w:val="clear"/>
        </w:rPr>
        <w:t xml:space="preserve">IMS &amp; ACCESS Infrastructure </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object w:dxaOrig="8670" w:dyaOrig="5504">
          <v:rect xmlns:o="urn:schemas-microsoft-com:office:office" xmlns:v="urn:schemas-microsoft-com:vml" id="rectole0000000000" style="width:433.500000pt;height:275.20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spacing w:before="0" w:after="200" w:line="240"/>
        <w:ind w:right="0" w:left="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IMS and access architecture</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Mobistar IMS Core &amp; access network is composed with composed with different domains</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Access network enable to deliver a IPVPN over multi access technology (Fiber, DSL,…)</w:t>
      </w:r>
    </w:p>
    <w:p>
      <w:pPr>
        <w:spacing w:before="0" w:after="120" w:line="240"/>
        <w:ind w:right="0" w:left="0" w:firstLine="0"/>
        <w:jc w:val="both"/>
        <w:rPr>
          <w:rFonts w:ascii="Calibri" w:hAnsi="Calibri" w:cs="Calibri" w:eastAsia="Calibri"/>
          <w:color w:val="auto"/>
          <w:spacing w:val="0"/>
          <w:position w:val="0"/>
          <w:sz w:val="22"/>
          <w:shd w:fill="auto" w:val="clear"/>
        </w:rPr>
      </w:pPr>
      <w:r>
        <w:object w:dxaOrig="6329" w:dyaOrig="2759">
          <v:rect xmlns:o="urn:schemas-microsoft-com:office:office" xmlns:v="urn:schemas-microsoft-com:vml" id="rectole0000000001" style="width:316.450000pt;height:137.9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200" w:line="240"/>
        <w:ind w:right="0" w:left="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Access architecture</w:t>
      </w:r>
    </w:p>
    <w:p>
      <w:pPr>
        <w:spacing w:before="400" w:after="200" w:line="240"/>
        <w:ind w:right="0" w:left="0" w:firstLine="0"/>
        <w:jc w:val="both"/>
        <w:rPr>
          <w:rFonts w:ascii="Arial" w:hAnsi="Arial" w:cs="Arial" w:eastAsia="Arial"/>
          <w:b/>
          <w:color w:val="3F70AB"/>
          <w:spacing w:val="0"/>
          <w:position w:val="0"/>
          <w:sz w:val="26"/>
          <w:shd w:fill="auto" w:val="clear"/>
        </w:rPr>
      </w:pPr>
      <w:r>
        <w:rPr>
          <w:rFonts w:ascii="Arial" w:hAnsi="Arial" w:cs="Arial" w:eastAsia="Arial"/>
          <w:b/>
          <w:color w:val="3F70AB"/>
          <w:spacing w:val="0"/>
          <w:position w:val="0"/>
          <w:sz w:val="26"/>
          <w:shd w:fill="auto" w:val="clear"/>
        </w:rPr>
        <w:t xml:space="preserve">Solution for business continuity</w:t>
      </w:r>
    </w:p>
    <w:p>
      <w:pPr>
        <w:spacing w:before="0" w:after="120" w:line="240"/>
        <w:ind w:right="0" w:left="72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Various solution could be minded, most typical are </w:t>
      </w:r>
    </w:p>
    <w:p>
      <w:pPr>
        <w:spacing w:before="0" w:after="120" w:line="240"/>
        <w:ind w:right="0" w:left="720" w:firstLine="0"/>
        <w:jc w:val="both"/>
        <w:rPr>
          <w:rFonts w:ascii="Calibri" w:hAnsi="Calibri" w:cs="Calibri" w:eastAsia="Calibri"/>
          <w:color w:val="auto"/>
          <w:spacing w:val="0"/>
          <w:position w:val="0"/>
          <w:sz w:val="22"/>
          <w:shd w:fill="auto" w:val="clear"/>
        </w:rPr>
      </w:pPr>
    </w:p>
    <w:p>
      <w:pPr>
        <w:numPr>
          <w:ilvl w:val="0"/>
          <w:numId w:val="48"/>
        </w:numPr>
        <w:spacing w:before="0" w:after="120" w:line="240"/>
        <w:ind w:right="0" w:left="144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IP access redundancy (IP Access Redundancy)</w:t>
      </w:r>
    </w:p>
    <w:p>
      <w:pPr>
        <w:numPr>
          <w:ilvl w:val="0"/>
          <w:numId w:val="48"/>
        </w:numPr>
        <w:spacing w:before="0" w:after="120" w:line="240"/>
        <w:ind w:right="0" w:left="144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IP access redundancy + Escaux UCS redundancy </w:t>
      </w:r>
    </w:p>
    <w:p>
      <w:pPr>
        <w:numPr>
          <w:ilvl w:val="0"/>
          <w:numId w:val="48"/>
        </w:numPr>
        <w:spacing w:before="0" w:after="120" w:line="240"/>
        <w:ind w:right="0" w:left="144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Redundancy via VoIP enterprise Trunking </w:t>
      </w:r>
    </w:p>
    <w:p>
      <w:pPr>
        <w:numPr>
          <w:ilvl w:val="0"/>
          <w:numId w:val="48"/>
        </w:numPr>
        <w:spacing w:before="0" w:after="120" w:line="240"/>
        <w:ind w:right="0" w:left="144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ISDN GW backup into Escaux UCS</w:t>
      </w:r>
    </w:p>
    <w:p>
      <w:pPr>
        <w:spacing w:before="0" w:after="120" w:line="240"/>
        <w:ind w:right="0" w:left="72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Please contact the engineering to review specific customer need for business continuity</w:t>
      </w:r>
    </w:p>
    <w:p>
      <w:pPr>
        <w:spacing w:before="0" w:after="120" w:line="240"/>
        <w:ind w:right="0" w:left="0" w:firstLine="0"/>
        <w:jc w:val="both"/>
        <w:rPr>
          <w:rFonts w:ascii="Calibri" w:hAnsi="Calibri" w:cs="Calibri" w:eastAsia="Calibri"/>
          <w:color w:val="auto"/>
          <w:spacing w:val="0"/>
          <w:position w:val="0"/>
          <w:sz w:val="22"/>
          <w:shd w:fill="auto" w:val="clear"/>
        </w:rPr>
      </w:pPr>
      <w:r>
        <w:object w:dxaOrig="8670" w:dyaOrig="3600">
          <v:rect xmlns:o="urn:schemas-microsoft-com:office:office" xmlns:v="urn:schemas-microsoft-com:vml" id="rectole0000000002" style="width:433.500000pt;height:180.0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200" w:line="240"/>
        <w:ind w:right="0" w:left="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Solution for business continuity</w:t>
      </w:r>
    </w:p>
    <w:p>
      <w:pPr>
        <w:spacing w:before="480" w:after="200" w:line="240"/>
        <w:ind w:right="0" w:left="0" w:firstLine="0"/>
        <w:jc w:val="both"/>
        <w:rPr>
          <w:rFonts w:ascii="Arial" w:hAnsi="Arial" w:cs="Arial" w:eastAsia="Arial"/>
          <w:b/>
          <w:color w:val="365F91"/>
          <w:spacing w:val="0"/>
          <w:position w:val="0"/>
          <w:sz w:val="28"/>
          <w:shd w:fill="auto" w:val="clear"/>
        </w:rPr>
      </w:pPr>
      <w:r>
        <w:rPr>
          <w:rFonts w:ascii="Arial" w:hAnsi="Arial" w:cs="Arial" w:eastAsia="Arial"/>
          <w:b/>
          <w:color w:val="365F91"/>
          <w:spacing w:val="0"/>
          <w:position w:val="0"/>
          <w:sz w:val="28"/>
          <w:shd w:fill="auto" w:val="clear"/>
        </w:rPr>
        <w:t xml:space="preserve">Provisioning parameters transmitted to the customer</w:t>
      </w:r>
    </w:p>
    <w:tbl>
      <w:tblPr/>
      <w:tblGrid>
        <w:gridCol w:w="1987"/>
        <w:gridCol w:w="1422"/>
        <w:gridCol w:w="1416"/>
        <w:gridCol w:w="2264"/>
      </w:tblGrid>
      <w:tr>
        <w:trPr>
          <w:trHeight w:val="359" w:hRule="auto"/>
          <w:jc w:val="left"/>
        </w:trPr>
        <w:tc>
          <w:tcPr>
            <w:tcW w:w="1987" w:type="dxa"/>
            <w:tcBorders>
              <w:top w:val="single" w:color="000000" w:sz="4"/>
              <w:left w:val="single" w:color="000000" w:sz="4"/>
              <w:bottom w:val="single" w:color="000000" w:sz="4"/>
              <w:right w:val="single" w:color="000000" w:sz="4"/>
            </w:tcBorders>
            <w:shd w:color="000000" w:fill="b3b3b3" w:val="clear"/>
            <w:tcMar>
              <w:left w:w="108" w:type="dxa"/>
              <w:right w:w="108" w:type="dxa"/>
            </w:tcMar>
            <w:vAlign w:val="top"/>
          </w:tcPr>
          <w:p>
            <w:pPr>
              <w:spacing w:before="0" w:after="120" w:line="240"/>
              <w:ind w:right="0" w:left="0" w:firstLine="0"/>
              <w:jc w:val="both"/>
              <w:rPr>
                <w:rFonts w:ascii="Calibri" w:hAnsi="Calibri" w:cs="Calibri" w:eastAsia="Calibri"/>
                <w:spacing w:val="0"/>
                <w:position w:val="0"/>
                <w:shd w:fill="auto" w:val="clear"/>
              </w:rPr>
            </w:pPr>
            <w:r>
              <w:rPr>
                <w:rFonts w:ascii="Calibri" w:hAnsi="Calibri" w:cs="Calibri" w:eastAsia="Calibri"/>
                <w:color w:val="FFFFFF"/>
                <w:spacing w:val="0"/>
                <w:position w:val="0"/>
                <w:sz w:val="16"/>
                <w:shd w:fill="auto" w:val="clear"/>
              </w:rPr>
              <w:t xml:space="preserve">Parameter</w:t>
            </w:r>
          </w:p>
        </w:tc>
        <w:tc>
          <w:tcPr>
            <w:tcW w:w="1422" w:type="dxa"/>
            <w:tcBorders>
              <w:top w:val="single" w:color="000000" w:sz="4"/>
              <w:left w:val="single" w:color="000000" w:sz="0"/>
              <w:bottom w:val="single" w:color="000000" w:sz="4"/>
              <w:right w:val="single" w:color="000000" w:sz="4"/>
            </w:tcBorders>
            <w:shd w:color="000000" w:fill="b3b3b3" w:val="clear"/>
            <w:tcMar>
              <w:left w:w="108" w:type="dxa"/>
              <w:right w:w="108" w:type="dxa"/>
            </w:tcMar>
            <w:vAlign w:val="top"/>
          </w:tcPr>
          <w:p>
            <w:pPr>
              <w:spacing w:before="0" w:after="120" w:line="240"/>
              <w:ind w:right="0" w:left="0" w:firstLine="0"/>
              <w:jc w:val="both"/>
              <w:rPr>
                <w:rFonts w:ascii="Calibri" w:hAnsi="Calibri" w:cs="Calibri" w:eastAsia="Calibri"/>
                <w:spacing w:val="0"/>
                <w:position w:val="0"/>
                <w:shd w:fill="auto" w:val="clear"/>
              </w:rPr>
            </w:pPr>
            <w:r>
              <w:rPr>
                <w:rFonts w:ascii="Calibri" w:hAnsi="Calibri" w:cs="Calibri" w:eastAsia="Calibri"/>
                <w:color w:val="FFFFFF"/>
                <w:spacing w:val="0"/>
                <w:position w:val="0"/>
                <w:sz w:val="16"/>
                <w:shd w:fill="auto" w:val="clear"/>
              </w:rPr>
              <w:t xml:space="preserve">Value example </w:t>
            </w:r>
          </w:p>
        </w:tc>
        <w:tc>
          <w:tcPr>
            <w:tcW w:w="1416" w:type="dxa"/>
            <w:tcBorders>
              <w:top w:val="single" w:color="000000" w:sz="4"/>
              <w:left w:val="single" w:color="000000" w:sz="0"/>
              <w:bottom w:val="single" w:color="000000" w:sz="4"/>
              <w:right w:val="single" w:color="000000" w:sz="4"/>
            </w:tcBorders>
            <w:shd w:color="000000" w:fill="b3b3b3" w:val="clear"/>
            <w:tcMar>
              <w:left w:w="108" w:type="dxa"/>
              <w:right w:w="108" w:type="dxa"/>
            </w:tcMar>
            <w:vAlign w:val="top"/>
          </w:tcPr>
          <w:p>
            <w:pPr>
              <w:spacing w:before="0" w:after="120" w:line="240"/>
              <w:ind w:right="0" w:left="0" w:firstLine="0"/>
              <w:jc w:val="left"/>
              <w:rPr>
                <w:rFonts w:ascii="Calibri" w:hAnsi="Calibri" w:cs="Calibri" w:eastAsia="Calibri"/>
                <w:spacing w:val="0"/>
                <w:position w:val="0"/>
                <w:shd w:fill="auto" w:val="clear"/>
              </w:rPr>
            </w:pPr>
            <w:r>
              <w:rPr>
                <w:rFonts w:ascii="Calibri" w:hAnsi="Calibri" w:cs="Calibri" w:eastAsia="Calibri"/>
                <w:color w:val="FFFFFF"/>
                <w:spacing w:val="0"/>
                <w:position w:val="0"/>
                <w:sz w:val="16"/>
                <w:shd w:fill="auto" w:val="clear"/>
              </w:rPr>
              <w:t xml:space="preserve">Format</w:t>
            </w:r>
          </w:p>
        </w:tc>
        <w:tc>
          <w:tcPr>
            <w:tcW w:w="2264" w:type="dxa"/>
            <w:tcBorders>
              <w:top w:val="single" w:color="000000" w:sz="4"/>
              <w:left w:val="single" w:color="000000" w:sz="0"/>
              <w:bottom w:val="single" w:color="000000" w:sz="4"/>
              <w:right w:val="single" w:color="000000" w:sz="4"/>
            </w:tcBorders>
            <w:shd w:color="000000" w:fill="b3b3b3" w:val="clear"/>
            <w:tcMar>
              <w:left w:w="108" w:type="dxa"/>
              <w:right w:w="108" w:type="dxa"/>
            </w:tcMar>
            <w:vAlign w:val="top"/>
          </w:tcPr>
          <w:p>
            <w:pPr>
              <w:spacing w:before="0" w:after="120" w:line="240"/>
              <w:ind w:right="0" w:left="0" w:firstLine="0"/>
              <w:jc w:val="both"/>
              <w:rPr>
                <w:rFonts w:ascii="Calibri" w:hAnsi="Calibri" w:cs="Calibri" w:eastAsia="Calibri"/>
                <w:spacing w:val="0"/>
                <w:position w:val="0"/>
                <w:shd w:fill="auto" w:val="clear"/>
              </w:rPr>
            </w:pPr>
            <w:r>
              <w:rPr>
                <w:rFonts w:ascii="Calibri" w:hAnsi="Calibri" w:cs="Calibri" w:eastAsia="Calibri"/>
                <w:color w:val="FFFFFF"/>
                <w:spacing w:val="0"/>
                <w:position w:val="0"/>
                <w:sz w:val="16"/>
                <w:shd w:fill="auto" w:val="clear"/>
              </w:rPr>
              <w:t xml:space="preserve">Definition</w:t>
            </w:r>
          </w:p>
        </w:tc>
      </w:tr>
      <w:tr>
        <w:trPr>
          <w:trHeight w:val="255" w:hRule="auto"/>
          <w:jc w:val="left"/>
        </w:trPr>
        <w:tc>
          <w:tcPr>
            <w:tcW w:w="1987"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[CORP_SITE_PBX_NDG]</w:t>
            </w:r>
          </w:p>
        </w:tc>
        <w:tc>
          <w:tcPr>
            <w:tcW w:w="1422"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+3224312490</w:t>
            </w:r>
          </w:p>
        </w:tc>
        <w:tc>
          <w:tcPr>
            <w:tcW w:w="141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Tel num (8 digits)</w:t>
            </w:r>
          </w:p>
        </w:tc>
        <w:tc>
          <w:tcPr>
            <w:tcW w:w="2264"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PBX NDG or tel number of pilot number PBX (1 head number)</w:t>
            </w:r>
          </w:p>
        </w:tc>
      </w:tr>
      <w:tr>
        <w:trPr>
          <w:trHeight w:val="255" w:hRule="auto"/>
          <w:jc w:val="left"/>
        </w:trPr>
        <w:tc>
          <w:tcPr>
            <w:tcW w:w="1987"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[CORP_ID]-[CORP_SITE_ID]-NDG@sip.mobistar.be</w:t>
            </w:r>
          </w:p>
        </w:tc>
        <w:tc>
          <w:tcPr>
            <w:tcW w:w="1422"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22"/>
                <w:shd w:fill="auto" w:val="clear"/>
              </w:rPr>
            </w:pPr>
            <w:hyperlink xmlns:r="http://schemas.openxmlformats.org/officeDocument/2006/relationships" r:id="docRId7">
              <w:r>
                <w:rPr>
                  <w:rFonts w:ascii="Calibri" w:hAnsi="Calibri" w:cs="Calibri" w:eastAsia="Calibri"/>
                  <w:color w:val="0000FF"/>
                  <w:spacing w:val="0"/>
                  <w:position w:val="0"/>
                  <w:sz w:val="16"/>
                  <w:u w:val="single"/>
                  <w:shd w:fill="auto" w:val="clear"/>
                </w:rPr>
                <w:t xml:space="preserve">040000940-040000941-NDG@sip.mobistar.be</w:t>
              </w:r>
            </w:hyperlink>
          </w:p>
          <w:p>
            <w:pPr>
              <w:spacing w:before="0" w:after="120" w:line="240"/>
              <w:ind w:right="0" w:left="0" w:firstLine="0"/>
              <w:jc w:val="both"/>
              <w:rPr>
                <w:rFonts w:ascii="Calibri" w:hAnsi="Calibri" w:cs="Calibri" w:eastAsia="Calibri"/>
                <w:spacing w:val="0"/>
                <w:position w:val="0"/>
                <w:shd w:fill="auto" w:val="clear"/>
              </w:rPr>
            </w:pPr>
          </w:p>
        </w:tc>
        <w:tc>
          <w:tcPr>
            <w:tcW w:w="141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User name</w:t>
            </w:r>
          </w:p>
        </w:tc>
        <w:tc>
          <w:tcPr>
            <w:tcW w:w="2264"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Compilation of FFCLI &amp;FCLI</w:t>
            </w:r>
          </w:p>
        </w:tc>
      </w:tr>
      <w:tr>
        <w:trPr>
          <w:trHeight w:val="255" w:hRule="auto"/>
          <w:jc w:val="left"/>
        </w:trPr>
        <w:tc>
          <w:tcPr>
            <w:tcW w:w="1987"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[CORP_SITE_PBX_NDS_n]</w:t>
            </w:r>
          </w:p>
        </w:tc>
        <w:tc>
          <w:tcPr>
            <w:tcW w:w="1422"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+3289550940&gt;</w:t>
            </w:r>
          </w:p>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+3289550947</w:t>
            </w:r>
          </w:p>
        </w:tc>
        <w:tc>
          <w:tcPr>
            <w:tcW w:w="141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Tel num (8 digits)</w:t>
            </w:r>
          </w:p>
        </w:tc>
        <w:tc>
          <w:tcPr>
            <w:tcW w:w="2264"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PBX NDS ( tel number of DDI or NDS users behind PBX not including NDG)</w:t>
            </w:r>
          </w:p>
        </w:tc>
      </w:tr>
      <w:tr>
        <w:trPr>
          <w:trHeight w:val="255" w:hRule="auto"/>
          <w:jc w:val="left"/>
        </w:trPr>
        <w:tc>
          <w:tcPr>
            <w:tcW w:w="1987"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[CORP_SITE_PBX_SIPPWD]</w:t>
            </w:r>
          </w:p>
        </w:tc>
        <w:tc>
          <w:tcPr>
            <w:tcW w:w="1422"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IMSHUAWEI</w:t>
            </w:r>
          </w:p>
        </w:tc>
        <w:tc>
          <w:tcPr>
            <w:tcW w:w="141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Random, with following format</w:t>
            </w:r>
          </w:p>
        </w:tc>
        <w:tc>
          <w:tcPr>
            <w:tcW w:w="2264"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SIP password for PBX</w:t>
            </w:r>
          </w:p>
        </w:tc>
      </w:tr>
      <w:tr>
        <w:trPr>
          <w:trHeight w:val="255" w:hRule="auto"/>
          <w:jc w:val="left"/>
        </w:trPr>
        <w:tc>
          <w:tcPr>
            <w:tcW w:w="1987" w:type="dxa"/>
            <w:tcBorders>
              <w:top w:val="single" w:color="000000" w:sz="4"/>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[VOIPT_CPETYPE_PUBSIG]</w:t>
            </w:r>
          </w:p>
        </w:tc>
        <w:tc>
          <w:tcPr>
            <w:tcW w:w="1422" w:type="dxa"/>
            <w:tcBorders>
              <w:top w:val="single" w:color="000000" w:sz="4"/>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212.224.148.97</w:t>
            </w:r>
          </w:p>
        </w:tc>
        <w:tc>
          <w:tcPr>
            <w:tcW w:w="1416" w:type="dxa"/>
            <w:tcBorders>
              <w:top w:val="single" w:color="000000" w:sz="4"/>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Public IP address</w:t>
            </w:r>
          </w:p>
        </w:tc>
        <w:tc>
          <w:tcPr>
            <w:tcW w:w="2264" w:type="dxa"/>
            <w:tcBorders>
              <w:top w:val="single" w:color="000000" w:sz="4"/>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1 Pub IP address per CPE Type per corporate - Client Side IP (this one is the one configured by customer in IPPBX).</w:t>
            </w:r>
          </w:p>
        </w:tc>
      </w:tr>
      <w:tr>
        <w:trPr>
          <w:trHeight w:val="255" w:hRule="auto"/>
          <w:jc w:val="left"/>
        </w:trPr>
        <w:tc>
          <w:tcPr>
            <w:tcW w:w="1987"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[VOIPT_DOMAINNAME]</w:t>
            </w:r>
          </w:p>
        </w:tc>
        <w:tc>
          <w:tcPr>
            <w:tcW w:w="1422" w:type="dxa"/>
            <w:tcBorders>
              <w:top w:val="single" w:color="000000" w:sz="4"/>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sip.mobistar.be</w:t>
            </w:r>
          </w:p>
        </w:tc>
        <w:tc>
          <w:tcPr>
            <w:tcW w:w="1416" w:type="dxa"/>
            <w:tcBorders>
              <w:top w:val="single" w:color="000000" w:sz="4"/>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String</w:t>
            </w:r>
          </w:p>
        </w:tc>
        <w:tc>
          <w:tcPr>
            <w:tcW w:w="2264"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Host name part of SIP URI, SIP domain</w:t>
            </w:r>
          </w:p>
        </w:tc>
      </w:tr>
      <w:tr>
        <w:trPr>
          <w:trHeight w:val="1275" w:hRule="auto"/>
          <w:jc w:val="left"/>
        </w:trPr>
        <w:tc>
          <w:tcPr>
            <w:tcW w:w="1987"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[CORP_BACKUP]</w:t>
            </w:r>
          </w:p>
        </w:tc>
        <w:tc>
          <w:tcPr>
            <w:tcW w:w="1422"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+3289550000</w:t>
            </w:r>
          </w:p>
        </w:tc>
        <w:tc>
          <w:tcPr>
            <w:tcW w:w="141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9 digit tel number ex. 493262426</w:t>
            </w:r>
          </w:p>
        </w:tc>
        <w:tc>
          <w:tcPr>
            <w:tcW w:w="2264"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Voice backup destination (national / international) mobile destination</w:t>
            </w:r>
          </w:p>
        </w:tc>
      </w:tr>
      <w:tr>
        <w:trPr>
          <w:trHeight w:val="255" w:hRule="auto"/>
          <w:jc w:val="left"/>
        </w:trPr>
        <w:tc>
          <w:tcPr>
            <w:tcW w:w="1987"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[CORP_SITE_SUBNET</w:t>
            </w:r>
          </w:p>
        </w:tc>
        <w:tc>
          <w:tcPr>
            <w:tcW w:w="1422"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192.168.50.1</w:t>
            </w:r>
          </w:p>
        </w:tc>
        <w:tc>
          <w:tcPr>
            <w:tcW w:w="141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Private IP address (subnet)</w:t>
            </w:r>
          </w:p>
        </w:tc>
        <w:tc>
          <w:tcPr>
            <w:tcW w:w="2264"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Site (or corporate) subnet (main and remote)</w:t>
            </w:r>
          </w:p>
        </w:tc>
      </w:tr>
      <w:tr>
        <w:trPr>
          <w:trHeight w:val="255" w:hRule="auto"/>
          <w:jc w:val="left"/>
        </w:trPr>
        <w:tc>
          <w:tcPr>
            <w:tcW w:w="1987"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[CORP_SITE_SUBNETMASK]</w:t>
            </w:r>
          </w:p>
        </w:tc>
        <w:tc>
          <w:tcPr>
            <w:tcW w:w="1422"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255.255.255.0</w:t>
            </w:r>
          </w:p>
        </w:tc>
        <w:tc>
          <w:tcPr>
            <w:tcW w:w="141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Private IP address (subnet mask)</w:t>
            </w:r>
          </w:p>
        </w:tc>
        <w:tc>
          <w:tcPr>
            <w:tcW w:w="2264"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Site (or corporate) subnet (main and remote)</w:t>
            </w:r>
          </w:p>
        </w:tc>
      </w:tr>
    </w:tbl>
    <w:p>
      <w:pPr>
        <w:spacing w:before="0" w:after="200" w:line="240"/>
        <w:ind w:right="0" w:left="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Table : configuration parameters provided by Mobistar</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80" w:after="200" w:line="240"/>
        <w:ind w:right="0" w:left="0" w:firstLine="0"/>
        <w:jc w:val="both"/>
        <w:rPr>
          <w:rFonts w:ascii="Arial" w:hAnsi="Arial" w:cs="Arial" w:eastAsia="Arial"/>
          <w:b/>
          <w:color w:val="365F91"/>
          <w:spacing w:val="0"/>
          <w:position w:val="0"/>
          <w:sz w:val="28"/>
          <w:shd w:fill="auto" w:val="clear"/>
        </w:rPr>
      </w:pPr>
      <w:r>
        <w:rPr>
          <w:rFonts w:ascii="Arial" w:hAnsi="Arial" w:cs="Arial" w:eastAsia="Arial"/>
          <w:b/>
          <w:color w:val="365F91"/>
          <w:spacing w:val="0"/>
          <w:position w:val="0"/>
          <w:sz w:val="28"/>
          <w:shd w:fill="auto" w:val="clear"/>
        </w:rPr>
        <w:t xml:space="preserve">Supported Services</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purpose of this section is to list the services offered by Escaux UCS that have been validated with the SIP trunk of Mobistar:</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SIP Registration</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Basic incoming and outgoing calls</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Call hold</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Call Forwarding Unconditional</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Call Forwarding on No Answer</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Call forwarding to UCS</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Blind Transfer</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Consultative Transfer</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Conference</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Call Waiting</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Calling Line Identity Presentation</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Calling Line Identity Restriction</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DTMF</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Emergency calls</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Fax</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p>
    <w:p>
      <w:pPr>
        <w:numPr>
          <w:ilvl w:val="0"/>
          <w:numId w:val="102"/>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80" w:after="200" w:line="240"/>
        <w:ind w:right="0" w:left="0" w:firstLine="0"/>
        <w:jc w:val="both"/>
        <w:rPr>
          <w:rFonts w:ascii="Arial" w:hAnsi="Arial" w:cs="Arial" w:eastAsia="Arial"/>
          <w:b/>
          <w:color w:val="365F91"/>
          <w:spacing w:val="0"/>
          <w:position w:val="0"/>
          <w:sz w:val="28"/>
          <w:shd w:fill="auto" w:val="clear"/>
        </w:rPr>
      </w:pPr>
      <w:r>
        <w:rPr>
          <w:rFonts w:ascii="Arial" w:hAnsi="Arial" w:cs="Arial" w:eastAsia="Arial"/>
          <w:b/>
          <w:color w:val="365F91"/>
          <w:spacing w:val="0"/>
          <w:position w:val="0"/>
          <w:sz w:val="28"/>
          <w:shd w:fill="auto" w:val="clear"/>
        </w:rPr>
        <w:t xml:space="preserve">Configuration</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purpose of this section is to describe the configuration of the Escaux UCS, based on </w:t>
      </w:r>
    </w:p>
    <w:p>
      <w:pPr>
        <w:numPr>
          <w:ilvl w:val="0"/>
          <w:numId w:val="106"/>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parameters transmitted by Mobistar to the customer, as provided in section 3</w:t>
      </w:r>
    </w:p>
    <w:p>
      <w:pPr>
        <w:numPr>
          <w:ilvl w:val="0"/>
          <w:numId w:val="106"/>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Other parameters described here.</w:t>
      </w:r>
    </w:p>
    <w:p>
      <w:pPr>
        <w:spacing w:before="0" w:after="120" w:line="240"/>
        <w:ind w:right="0" w:left="0" w:firstLine="0"/>
        <w:jc w:val="center"/>
        <w:rPr>
          <w:rFonts w:ascii="Calibri" w:hAnsi="Calibri" w:cs="Calibri" w:eastAsia="Calibri"/>
          <w:color w:val="auto"/>
          <w:spacing w:val="0"/>
          <w:position w:val="0"/>
          <w:sz w:val="22"/>
          <w:shd w:fill="auto" w:val="clear"/>
        </w:rPr>
      </w:pPr>
      <w:r>
        <w:object w:dxaOrig="5940" w:dyaOrig="5474">
          <v:rect xmlns:o="urn:schemas-microsoft-com:office:office" xmlns:v="urn:schemas-microsoft-com:vml" id="rectole0000000003" style="width:297.000000pt;height:273.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p>
    <w:p>
      <w:pPr>
        <w:spacing w:before="0" w:after="200" w:line="240"/>
        <w:ind w:right="0" w:left="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configuration parameters inside the Enterprise</w:t>
      </w:r>
    </w:p>
    <w:p>
      <w:pPr>
        <w:spacing w:before="0" w:after="120" w:line="240"/>
        <w:ind w:right="0" w:left="0" w:firstLine="0"/>
        <w:jc w:val="center"/>
        <w:rPr>
          <w:rFonts w:ascii="Calibri" w:hAnsi="Calibri" w:cs="Calibri" w:eastAsia="Calibri"/>
          <w:color w:val="auto"/>
          <w:spacing w:val="0"/>
          <w:position w:val="0"/>
          <w:sz w:val="22"/>
          <w:shd w:fill="auto" w:val="clear"/>
        </w:rPr>
      </w:pPr>
    </w:p>
    <w:p>
      <w:pPr>
        <w:spacing w:before="0" w:after="120" w:line="240"/>
        <w:ind w:right="0" w:left="0" w:firstLine="0"/>
        <w:jc w:val="center"/>
        <w:rPr>
          <w:rFonts w:ascii="Calibri" w:hAnsi="Calibri" w:cs="Calibri" w:eastAsia="Calibri"/>
          <w:color w:val="auto"/>
          <w:spacing w:val="0"/>
          <w:position w:val="0"/>
          <w:sz w:val="22"/>
          <w:shd w:fill="auto" w:val="clear"/>
        </w:rPr>
      </w:pPr>
    </w:p>
    <w:p>
      <w:pPr>
        <w:spacing w:before="0" w:after="120" w:line="240"/>
        <w:ind w:right="0" w:left="0" w:firstLine="0"/>
        <w:jc w:val="center"/>
        <w:rPr>
          <w:rFonts w:ascii="Calibri" w:hAnsi="Calibri" w:cs="Calibri" w:eastAsia="Calibri"/>
          <w:color w:val="auto"/>
          <w:spacing w:val="0"/>
          <w:position w:val="0"/>
          <w:sz w:val="22"/>
          <w:shd w:fill="auto" w:val="clear"/>
        </w:rPr>
      </w:pPr>
    </w:p>
    <w:tbl>
      <w:tblPr/>
      <w:tblGrid>
        <w:gridCol w:w="2134"/>
        <w:gridCol w:w="1839"/>
        <w:gridCol w:w="1136"/>
        <w:gridCol w:w="2546"/>
      </w:tblGrid>
      <w:tr>
        <w:trPr>
          <w:trHeight w:val="688" w:hRule="auto"/>
          <w:jc w:val="left"/>
        </w:trPr>
        <w:tc>
          <w:tcPr>
            <w:tcW w:w="2134" w:type="dxa"/>
            <w:tcBorders>
              <w:top w:val="single" w:color="000000" w:sz="4"/>
              <w:left w:val="single" w:color="000000" w:sz="4"/>
              <w:bottom w:val="single" w:color="000000" w:sz="4"/>
              <w:right w:val="single" w:color="000000" w:sz="4"/>
            </w:tcBorders>
            <w:shd w:color="000000" w:fill="b3b3b3" w:val="clear"/>
            <w:tcMar>
              <w:left w:w="108" w:type="dxa"/>
              <w:right w:w="108" w:type="dxa"/>
            </w:tcMar>
            <w:vAlign w:val="top"/>
          </w:tcPr>
          <w:p>
            <w:pPr>
              <w:spacing w:before="0" w:after="120" w:line="240"/>
              <w:ind w:right="0" w:left="0" w:firstLine="0"/>
              <w:jc w:val="both"/>
              <w:rPr>
                <w:rFonts w:ascii="Calibri" w:hAnsi="Calibri" w:cs="Calibri" w:eastAsia="Calibri"/>
                <w:spacing w:val="0"/>
                <w:position w:val="0"/>
                <w:shd w:fill="auto" w:val="clear"/>
              </w:rPr>
            </w:pPr>
            <w:r>
              <w:rPr>
                <w:rFonts w:ascii="Calibri" w:hAnsi="Calibri" w:cs="Calibri" w:eastAsia="Calibri"/>
                <w:b/>
                <w:color w:val="FFFFFF"/>
                <w:spacing w:val="0"/>
                <w:position w:val="0"/>
                <w:sz w:val="16"/>
                <w:shd w:fill="auto" w:val="clear"/>
              </w:rPr>
              <w:t xml:space="preserve">Parameter</w:t>
            </w:r>
          </w:p>
        </w:tc>
        <w:tc>
          <w:tcPr>
            <w:tcW w:w="1839" w:type="dxa"/>
            <w:tcBorders>
              <w:top w:val="single" w:color="000000" w:sz="4"/>
              <w:left w:val="single" w:color="000000" w:sz="0"/>
              <w:bottom w:val="single" w:color="000000" w:sz="4"/>
              <w:right w:val="single" w:color="000000" w:sz="4"/>
            </w:tcBorders>
            <w:shd w:color="000000" w:fill="b3b3b3" w:val="clear"/>
            <w:tcMar>
              <w:left w:w="108" w:type="dxa"/>
              <w:right w:w="108" w:type="dxa"/>
            </w:tcMar>
            <w:vAlign w:val="top"/>
          </w:tcPr>
          <w:p>
            <w:pPr>
              <w:spacing w:before="0" w:after="120" w:line="240"/>
              <w:ind w:right="0" w:left="0" w:firstLine="0"/>
              <w:jc w:val="both"/>
              <w:rPr>
                <w:rFonts w:ascii="Calibri" w:hAnsi="Calibri" w:cs="Calibri" w:eastAsia="Calibri"/>
                <w:spacing w:val="0"/>
                <w:position w:val="0"/>
                <w:shd w:fill="auto" w:val="clear"/>
              </w:rPr>
            </w:pPr>
            <w:r>
              <w:rPr>
                <w:rFonts w:ascii="Calibri" w:hAnsi="Calibri" w:cs="Calibri" w:eastAsia="Calibri"/>
                <w:b/>
                <w:color w:val="FFFFFF"/>
                <w:spacing w:val="0"/>
                <w:position w:val="0"/>
                <w:sz w:val="16"/>
                <w:shd w:fill="auto" w:val="clear"/>
              </w:rPr>
              <w:t xml:space="preserve">Value example </w:t>
            </w:r>
          </w:p>
        </w:tc>
        <w:tc>
          <w:tcPr>
            <w:tcW w:w="1136" w:type="dxa"/>
            <w:tcBorders>
              <w:top w:val="single" w:color="000000" w:sz="4"/>
              <w:left w:val="single" w:color="000000" w:sz="0"/>
              <w:bottom w:val="single" w:color="000000" w:sz="4"/>
              <w:right w:val="single" w:color="000000" w:sz="4"/>
            </w:tcBorders>
            <w:shd w:color="000000" w:fill="b3b3b3" w:val="clear"/>
            <w:tcMar>
              <w:left w:w="108" w:type="dxa"/>
              <w:right w:w="108" w:type="dxa"/>
            </w:tcMar>
            <w:vAlign w:val="top"/>
          </w:tcPr>
          <w:p>
            <w:pPr>
              <w:spacing w:before="0" w:after="120" w:line="240"/>
              <w:ind w:right="0" w:left="0" w:firstLine="0"/>
              <w:jc w:val="both"/>
              <w:rPr>
                <w:rFonts w:ascii="Calibri" w:hAnsi="Calibri" w:cs="Calibri" w:eastAsia="Calibri"/>
                <w:spacing w:val="0"/>
                <w:position w:val="0"/>
                <w:shd w:fill="auto" w:val="clear"/>
              </w:rPr>
            </w:pPr>
            <w:r>
              <w:rPr>
                <w:rFonts w:ascii="Calibri" w:hAnsi="Calibri" w:cs="Calibri" w:eastAsia="Calibri"/>
                <w:b/>
                <w:color w:val="FFFFFF"/>
                <w:spacing w:val="0"/>
                <w:position w:val="0"/>
                <w:sz w:val="16"/>
                <w:shd w:fill="auto" w:val="clear"/>
              </w:rPr>
              <w:t xml:space="preserve">Format</w:t>
            </w:r>
          </w:p>
        </w:tc>
        <w:tc>
          <w:tcPr>
            <w:tcW w:w="2546" w:type="dxa"/>
            <w:tcBorders>
              <w:top w:val="single" w:color="000000" w:sz="4"/>
              <w:left w:val="single" w:color="000000" w:sz="0"/>
              <w:bottom w:val="single" w:color="000000" w:sz="4"/>
              <w:right w:val="single" w:color="000000" w:sz="4"/>
            </w:tcBorders>
            <w:shd w:color="000000" w:fill="b3b3b3" w:val="clear"/>
            <w:tcMar>
              <w:left w:w="108" w:type="dxa"/>
              <w:right w:w="108" w:type="dxa"/>
            </w:tcMar>
            <w:vAlign w:val="top"/>
          </w:tcPr>
          <w:p>
            <w:pPr>
              <w:spacing w:before="0" w:after="120" w:line="240"/>
              <w:ind w:right="0" w:left="0" w:firstLine="0"/>
              <w:jc w:val="both"/>
              <w:rPr>
                <w:rFonts w:ascii="Calibri" w:hAnsi="Calibri" w:cs="Calibri" w:eastAsia="Calibri"/>
                <w:spacing w:val="0"/>
                <w:position w:val="0"/>
                <w:shd w:fill="auto" w:val="clear"/>
              </w:rPr>
            </w:pPr>
            <w:r>
              <w:rPr>
                <w:rFonts w:ascii="Calibri" w:hAnsi="Calibri" w:cs="Calibri" w:eastAsia="Calibri"/>
                <w:b/>
                <w:color w:val="FFFFFF"/>
                <w:spacing w:val="0"/>
                <w:position w:val="0"/>
                <w:sz w:val="16"/>
                <w:shd w:fill="auto" w:val="clear"/>
              </w:rPr>
              <w:t xml:space="preserve">Definition</w:t>
            </w:r>
          </w:p>
        </w:tc>
      </w:tr>
      <w:tr>
        <w:trPr>
          <w:trHeight w:val="255" w:hRule="auto"/>
          <w:jc w:val="left"/>
        </w:trPr>
        <w:tc>
          <w:tcPr>
            <w:tcW w:w="2134"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[PHONE_SUBNET]</w:t>
            </w:r>
          </w:p>
        </w:tc>
        <w:tc>
          <w:tcPr>
            <w:tcW w:w="1839"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10.0.12.0</w:t>
            </w:r>
          </w:p>
        </w:tc>
        <w:tc>
          <w:tcPr>
            <w:tcW w:w="113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IP address</w:t>
            </w:r>
          </w:p>
        </w:tc>
        <w:tc>
          <w:tcPr>
            <w:tcW w:w="254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Subnet of the phones</w:t>
            </w:r>
          </w:p>
        </w:tc>
      </w:tr>
      <w:tr>
        <w:trPr>
          <w:trHeight w:val="255" w:hRule="auto"/>
          <w:jc w:val="left"/>
        </w:trPr>
        <w:tc>
          <w:tcPr>
            <w:tcW w:w="2134"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[PHONE_SUBNETMASK]</w:t>
            </w:r>
          </w:p>
        </w:tc>
        <w:tc>
          <w:tcPr>
            <w:tcW w:w="1839"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255.255.255.0</w:t>
            </w:r>
          </w:p>
          <w:p>
            <w:pPr>
              <w:spacing w:before="0" w:after="120" w:line="240"/>
              <w:ind w:right="0" w:left="0" w:firstLine="0"/>
              <w:jc w:val="both"/>
              <w:rPr>
                <w:rFonts w:ascii="Calibri" w:hAnsi="Calibri" w:cs="Calibri" w:eastAsia="Calibri"/>
                <w:color w:val="auto"/>
                <w:spacing w:val="0"/>
                <w:position w:val="0"/>
                <w:shd w:fill="auto" w:val="clear"/>
              </w:rPr>
            </w:pPr>
          </w:p>
        </w:tc>
        <w:tc>
          <w:tcPr>
            <w:tcW w:w="113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Subnet mask</w:t>
            </w:r>
          </w:p>
        </w:tc>
        <w:tc>
          <w:tcPr>
            <w:tcW w:w="254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Subnet mask of the subnet [PHONE_SUBNET]</w:t>
            </w:r>
          </w:p>
        </w:tc>
      </w:tr>
      <w:tr>
        <w:trPr>
          <w:trHeight w:val="255" w:hRule="auto"/>
          <w:jc w:val="left"/>
        </w:trPr>
        <w:tc>
          <w:tcPr>
            <w:tcW w:w="2134"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[UCS_IP_ADDR]</w:t>
            </w:r>
          </w:p>
        </w:tc>
        <w:tc>
          <w:tcPr>
            <w:tcW w:w="1839"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10.0.12.11</w:t>
            </w:r>
          </w:p>
        </w:tc>
        <w:tc>
          <w:tcPr>
            <w:tcW w:w="113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IP address</w:t>
            </w:r>
          </w:p>
        </w:tc>
        <w:tc>
          <w:tcPr>
            <w:tcW w:w="254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IP address of the UCS (access side)</w:t>
            </w:r>
          </w:p>
        </w:tc>
      </w:tr>
      <w:tr>
        <w:trPr>
          <w:trHeight w:val="255" w:hRule="auto"/>
          <w:jc w:val="left"/>
        </w:trPr>
        <w:tc>
          <w:tcPr>
            <w:tcW w:w="2134"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[MOB_SUBNET]</w:t>
            </w:r>
          </w:p>
        </w:tc>
        <w:tc>
          <w:tcPr>
            <w:tcW w:w="1839"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192.168.50.1</w:t>
            </w:r>
          </w:p>
        </w:tc>
        <w:tc>
          <w:tcPr>
            <w:tcW w:w="113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IP address</w:t>
            </w:r>
          </w:p>
        </w:tc>
        <w:tc>
          <w:tcPr>
            <w:tcW w:w="254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Subnet of the UCS (Mobistar side)</w:t>
            </w:r>
          </w:p>
        </w:tc>
      </w:tr>
      <w:tr>
        <w:trPr>
          <w:trHeight w:val="255" w:hRule="auto"/>
          <w:jc w:val="left"/>
        </w:trPr>
        <w:tc>
          <w:tcPr>
            <w:tcW w:w="2134"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[MOB_SUBNETMASK]</w:t>
            </w:r>
          </w:p>
        </w:tc>
        <w:tc>
          <w:tcPr>
            <w:tcW w:w="1839"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255.255.255.0</w:t>
            </w:r>
          </w:p>
          <w:p>
            <w:pPr>
              <w:spacing w:before="0" w:after="120" w:line="240"/>
              <w:ind w:right="0" w:left="0" w:firstLine="0"/>
              <w:jc w:val="both"/>
              <w:rPr>
                <w:rFonts w:ascii="Calibri" w:hAnsi="Calibri" w:cs="Calibri" w:eastAsia="Calibri"/>
                <w:color w:val="auto"/>
                <w:spacing w:val="0"/>
                <w:position w:val="0"/>
                <w:shd w:fill="auto" w:val="clear"/>
              </w:rPr>
            </w:pPr>
          </w:p>
        </w:tc>
        <w:tc>
          <w:tcPr>
            <w:tcW w:w="113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Subnet mask</w:t>
            </w:r>
          </w:p>
        </w:tc>
        <w:tc>
          <w:tcPr>
            <w:tcW w:w="254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Subnet mask of the subnet [MOB_SUBNET]</w:t>
            </w:r>
          </w:p>
        </w:tc>
      </w:tr>
      <w:tr>
        <w:trPr>
          <w:trHeight w:val="255" w:hRule="auto"/>
          <w:jc w:val="left"/>
        </w:trPr>
        <w:tc>
          <w:tcPr>
            <w:tcW w:w="2134"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[UCS_MOB_IP_ADDR]</w:t>
            </w:r>
          </w:p>
        </w:tc>
        <w:tc>
          <w:tcPr>
            <w:tcW w:w="1839"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192.168.50.12</w:t>
            </w:r>
          </w:p>
        </w:tc>
        <w:tc>
          <w:tcPr>
            <w:tcW w:w="113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IP address</w:t>
            </w:r>
          </w:p>
        </w:tc>
        <w:tc>
          <w:tcPr>
            <w:tcW w:w="254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IP address of the UCS (Mobistar side)</w:t>
            </w:r>
          </w:p>
        </w:tc>
      </w:tr>
      <w:tr>
        <w:trPr>
          <w:trHeight w:val="255" w:hRule="auto"/>
          <w:jc w:val="left"/>
        </w:trPr>
        <w:tc>
          <w:tcPr>
            <w:tcW w:w="2134"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[MGMT_SUBNET]</w:t>
            </w:r>
          </w:p>
        </w:tc>
        <w:tc>
          <w:tcPr>
            <w:tcW w:w="1839"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10.0.12.0</w:t>
            </w:r>
          </w:p>
        </w:tc>
        <w:tc>
          <w:tcPr>
            <w:tcW w:w="113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IP address</w:t>
            </w:r>
          </w:p>
        </w:tc>
        <w:tc>
          <w:tcPr>
            <w:tcW w:w="254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Subnet of the UCS (Management network)</w:t>
            </w:r>
          </w:p>
        </w:tc>
      </w:tr>
      <w:tr>
        <w:trPr>
          <w:trHeight w:val="255" w:hRule="auto"/>
          <w:jc w:val="left"/>
        </w:trPr>
        <w:tc>
          <w:tcPr>
            <w:tcW w:w="2134"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[MGMT_SUBNETMASK]</w:t>
            </w:r>
          </w:p>
        </w:tc>
        <w:tc>
          <w:tcPr>
            <w:tcW w:w="1839"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16"/>
                <w:shd w:fill="auto" w:val="clear"/>
              </w:rPr>
              <w:t xml:space="preserve">255.255.255.0</w:t>
            </w:r>
          </w:p>
          <w:p>
            <w:pPr>
              <w:spacing w:before="0" w:after="120" w:line="240"/>
              <w:ind w:right="0" w:left="0" w:firstLine="0"/>
              <w:jc w:val="both"/>
              <w:rPr>
                <w:rFonts w:ascii="Calibri" w:hAnsi="Calibri" w:cs="Calibri" w:eastAsia="Calibri"/>
                <w:color w:val="auto"/>
                <w:spacing w:val="0"/>
                <w:position w:val="0"/>
                <w:shd w:fill="auto" w:val="clear"/>
              </w:rPr>
            </w:pPr>
          </w:p>
        </w:tc>
        <w:tc>
          <w:tcPr>
            <w:tcW w:w="113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Subnet mask</w:t>
            </w:r>
          </w:p>
        </w:tc>
        <w:tc>
          <w:tcPr>
            <w:tcW w:w="254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Subnet mask of the subnet [MGMT_SUBNET]</w:t>
            </w:r>
          </w:p>
        </w:tc>
      </w:tr>
      <w:tr>
        <w:trPr>
          <w:trHeight w:val="255" w:hRule="auto"/>
          <w:jc w:val="left"/>
        </w:trPr>
        <w:tc>
          <w:tcPr>
            <w:tcW w:w="2134"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[UCS_MGMT_IP_ADDR]</w:t>
            </w:r>
          </w:p>
        </w:tc>
        <w:tc>
          <w:tcPr>
            <w:tcW w:w="1839"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10.0.12.11</w:t>
            </w:r>
          </w:p>
        </w:tc>
        <w:tc>
          <w:tcPr>
            <w:tcW w:w="113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IP address</w:t>
            </w:r>
          </w:p>
        </w:tc>
        <w:tc>
          <w:tcPr>
            <w:tcW w:w="254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IP address of the UCS (Management network)</w:t>
            </w:r>
          </w:p>
        </w:tc>
      </w:tr>
      <w:tr>
        <w:trPr>
          <w:trHeight w:val="255" w:hRule="auto"/>
          <w:jc w:val="left"/>
        </w:trPr>
        <w:tc>
          <w:tcPr>
            <w:tcW w:w="2134" w:type="dxa"/>
            <w:tcBorders>
              <w:top w:val="single" w:color="000000" w:sz="0"/>
              <w:left w:val="single" w:color="000000" w:sz="4"/>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[CPE_CORP_SITE_IP_ADDR]</w:t>
            </w:r>
          </w:p>
        </w:tc>
        <w:tc>
          <w:tcPr>
            <w:tcW w:w="1839"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192.168.50.1</w:t>
            </w:r>
          </w:p>
        </w:tc>
        <w:tc>
          <w:tcPr>
            <w:tcW w:w="113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IP address</w:t>
            </w:r>
          </w:p>
        </w:tc>
        <w:tc>
          <w:tcPr>
            <w:tcW w:w="2546" w:type="dxa"/>
            <w:tcBorders>
              <w:top w:val="single" w:color="000000" w:sz="0"/>
              <w:left w:val="single" w:color="000000" w:sz="0"/>
              <w:bottom w:val="single" w:color="000000" w:sz="4"/>
              <w:right w:val="single" w:color="000000" w:sz="4"/>
            </w:tcBorders>
            <w:shd w:color="000000" w:fill="auto" w:val="clear"/>
            <w:tcMar>
              <w:left w:w="108" w:type="dxa"/>
              <w:right w:w="108" w:type="dxa"/>
            </w:tcMar>
            <w:vAlign w:val="top"/>
          </w:tcPr>
          <w:p>
            <w:pPr>
              <w:spacing w:before="0" w:after="12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6"/>
                <w:shd w:fill="auto" w:val="clear"/>
              </w:rPr>
              <w:t xml:space="preserve">IP address of Mobistar CPE</w:t>
            </w:r>
          </w:p>
        </w:tc>
      </w:tr>
    </w:tbl>
    <w:p>
      <w:pPr>
        <w:spacing w:before="0" w:after="200" w:line="240"/>
        <w:ind w:right="0" w:left="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Table : configuration parameters inside the Enterprise</w:t>
      </w:r>
    </w:p>
    <w:p>
      <w:pPr>
        <w:spacing w:before="0" w:after="200" w:line="240"/>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00" w:after="200" w:line="240"/>
        <w:ind w:right="0" w:left="0" w:firstLine="0"/>
        <w:jc w:val="both"/>
        <w:rPr>
          <w:rFonts w:ascii="Arial" w:hAnsi="Arial" w:cs="Arial" w:eastAsia="Arial"/>
          <w:b/>
          <w:color w:val="3F70AB"/>
          <w:spacing w:val="0"/>
          <w:position w:val="0"/>
          <w:sz w:val="26"/>
          <w:shd w:fill="auto" w:val="clear"/>
        </w:rPr>
      </w:pPr>
      <w:r>
        <w:rPr>
          <w:rFonts w:ascii="Arial" w:hAnsi="Arial" w:cs="Arial" w:eastAsia="Arial"/>
          <w:b/>
          <w:color w:val="3F70AB"/>
          <w:spacing w:val="0"/>
          <w:position w:val="0"/>
          <w:sz w:val="26"/>
          <w:shd w:fill="auto" w:val="clear"/>
        </w:rPr>
        <w:t xml:space="preserve">Escaux UCS configuration</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We only cover in this document the configuration objects related to the interconnection with the SIP trunk of Mobistar. For detailed information on how to configure the UCS, check [1].</w:t>
      </w:r>
    </w:p>
    <w:p>
      <w:pPr>
        <w:spacing w:before="320" w:after="200" w:line="240"/>
        <w:ind w:right="0" w:left="0" w:firstLine="0"/>
        <w:jc w:val="both"/>
        <w:rPr>
          <w:rFonts w:ascii="Arial" w:hAnsi="Arial" w:cs="Arial" w:eastAsia="Arial"/>
          <w:b/>
          <w:color w:val="4F81BD"/>
          <w:spacing w:val="0"/>
          <w:position w:val="0"/>
          <w:sz w:val="24"/>
          <w:shd w:fill="auto" w:val="clear"/>
        </w:rPr>
      </w:pPr>
      <w:r>
        <w:rPr>
          <w:rFonts w:ascii="Arial" w:hAnsi="Arial" w:cs="Arial" w:eastAsia="Arial"/>
          <w:b/>
          <w:color w:val="4F81BD"/>
          <w:spacing w:val="0"/>
          <w:position w:val="0"/>
          <w:sz w:val="24"/>
          <w:shd w:fill="auto" w:val="clear"/>
        </w:rPr>
        <w:t xml:space="preserve">Resources</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purpose of this section is to describe two resources configuration objects. The resources are the standard building blocks needed to set up the Escaux UCS solutions. UCS offers a wide variety of resources for a variety of purposes. The configuration objects “IP phone” and “Interface” are example of resources.</w:t>
      </w:r>
    </w:p>
    <w:p>
      <w:pPr>
        <w:spacing w:before="200" w:after="0" w:line="240"/>
        <w:ind w:right="0" w:left="0" w:firstLine="0"/>
        <w:jc w:val="both"/>
        <w:rPr>
          <w:rFonts w:ascii="Cambria" w:hAnsi="Cambria" w:cs="Cambria" w:eastAsia="Cambria"/>
          <w:b/>
          <w:i/>
          <w:color w:val="4F81BD"/>
          <w:spacing w:val="0"/>
          <w:position w:val="0"/>
          <w:sz w:val="22"/>
          <w:shd w:fill="auto" w:val="clear"/>
        </w:rPr>
      </w:pPr>
      <w:r>
        <w:rPr>
          <w:rFonts w:ascii="Cambria" w:hAnsi="Cambria" w:cs="Cambria" w:eastAsia="Cambria"/>
          <w:b/>
          <w:i/>
          <w:color w:val="4F81BD"/>
          <w:spacing w:val="0"/>
          <w:position w:val="0"/>
          <w:sz w:val="22"/>
          <w:shd w:fill="auto" w:val="clear"/>
        </w:rPr>
        <w:t xml:space="preserve">Interface</w:t>
      </w:r>
    </w:p>
    <w:p>
      <w:pPr>
        <w:spacing w:before="0" w:after="120" w:line="24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 SMP GUI: Resources -&gt; Interface</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SIP trunk of Mobistar is represented inside the UCS as an Interface of type “SIP Trunk (OutgoingSIPTrunk)”. </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Important parameters for configuring this interface are</w:t>
      </w:r>
    </w:p>
    <w:p>
      <w:pPr>
        <w:spacing w:before="0" w:after="120" w:line="240"/>
        <w:ind w:right="0" w:left="0" w:firstLine="0"/>
        <w:jc w:val="both"/>
        <w:rPr>
          <w:rFonts w:ascii="Calibri" w:hAnsi="Calibri" w:cs="Calibri" w:eastAsia="Calibri"/>
          <w:color w:val="auto"/>
          <w:spacing w:val="0"/>
          <w:position w:val="0"/>
          <w:sz w:val="22"/>
          <w:shd w:fill="auto" w:val="clear"/>
        </w:rPr>
      </w:pPr>
    </w:p>
    <w:tbl>
      <w:tblPr/>
      <w:tblGrid>
        <w:gridCol w:w="2977"/>
        <w:gridCol w:w="4961"/>
      </w:tblGrid>
      <w:tr>
        <w:trPr>
          <w:trHeight w:val="1" w:hRule="atLeast"/>
          <w:jc w:val="left"/>
        </w:trPr>
        <w:tc>
          <w:tcPr>
            <w:tcW w:w="7938" w:type="dxa"/>
            <w:gridSpan w:val="2"/>
            <w:tcBorders>
              <w:top w:val="single" w:color="000000" w:sz="4"/>
              <w:left w:val="single" w:color="000000" w:sz="4"/>
              <w:bottom w:val="single" w:color="000000" w:sz="4"/>
              <w:right w:val="single" w:color="000000" w:sz="4"/>
            </w:tcBorders>
            <w:shd w:color="000000" w:fill="b3b3b3"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FFFFFF"/>
                <w:spacing w:val="0"/>
                <w:position w:val="0"/>
                <w:sz w:val="22"/>
                <w:shd w:fill="auto" w:val="clear"/>
              </w:rPr>
              <w:t xml:space="preserve">SIP Interface parameters</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b3b3b3" w:val="clear"/>
            <w:tcMar>
              <w:left w:w="108" w:type="dxa"/>
              <w:right w:w="108" w:type="dxa"/>
            </w:tcMar>
            <w:vAlign w:val="top"/>
          </w:tcPr>
          <w:p>
            <w:pPr>
              <w:spacing w:before="0" w:after="0" w:line="240"/>
              <w:ind w:right="0" w:left="0" w:firstLine="0"/>
              <w:jc w:val="both"/>
              <w:rPr>
                <w:rFonts w:ascii="Calibri" w:hAnsi="Calibri" w:cs="Calibri" w:eastAsia="Calibri"/>
                <w:spacing w:val="0"/>
                <w:position w:val="0"/>
                <w:sz w:val="22"/>
                <w:shd w:fill="auto" w:val="clear"/>
              </w:rPr>
            </w:pPr>
            <w:r>
              <w:rPr>
                <w:rFonts w:ascii="Calibri" w:hAnsi="Calibri" w:cs="Calibri" w:eastAsia="Calibri"/>
                <w:color w:val="FFFFFF"/>
                <w:spacing w:val="0"/>
                <w:position w:val="0"/>
                <w:sz w:val="22"/>
                <w:shd w:fill="auto" w:val="clear"/>
              </w:rPr>
              <w:t xml:space="preserve">Parameters</w:t>
            </w:r>
          </w:p>
        </w:tc>
        <w:tc>
          <w:tcPr>
            <w:tcW w:w="4961" w:type="dxa"/>
            <w:tcBorders>
              <w:top w:val="single" w:color="000000" w:sz="4"/>
              <w:left w:val="single" w:color="000000" w:sz="4"/>
              <w:bottom w:val="single" w:color="000000" w:sz="4"/>
              <w:right w:val="single" w:color="000000" w:sz="4"/>
            </w:tcBorders>
            <w:shd w:color="000000" w:fill="b3b3b3" w:val="clear"/>
            <w:tcMar>
              <w:left w:w="108" w:type="dxa"/>
              <w:right w:w="108" w:type="dxa"/>
            </w:tcMar>
            <w:vAlign w:val="top"/>
          </w:tcPr>
          <w:p>
            <w:pPr>
              <w:spacing w:before="0" w:after="0" w:line="240"/>
              <w:ind w:right="0" w:left="0" w:firstLine="0"/>
              <w:jc w:val="both"/>
              <w:rPr>
                <w:rFonts w:ascii="Calibri" w:hAnsi="Calibri" w:cs="Calibri" w:eastAsia="Calibri"/>
                <w:spacing w:val="0"/>
                <w:position w:val="0"/>
                <w:sz w:val="22"/>
                <w:shd w:fill="auto" w:val="clear"/>
              </w:rPr>
            </w:pPr>
            <w:r>
              <w:rPr>
                <w:rFonts w:ascii="Calibri" w:hAnsi="Calibri" w:cs="Calibri" w:eastAsia="Calibri"/>
                <w:color w:val="FFFFFF"/>
                <w:spacing w:val="0"/>
                <w:position w:val="0"/>
                <w:sz w:val="22"/>
                <w:shd w:fill="auto" w:val="clear"/>
              </w:rPr>
              <w:t xml:space="preserve">Values</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Gateway</w:t>
            </w:r>
          </w:p>
        </w:tc>
        <w:tc>
          <w:tcPr>
            <w:tcW w:w="4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[VOIPT_CPETYPE_PUBSIG]</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Accout Data: User</w:t>
            </w:r>
          </w:p>
        </w:tc>
        <w:tc>
          <w:tcPr>
            <w:tcW w:w="4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[CORP_ID]-[ CORP_SITE_ID]-NDG@sip.mobistar.be</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Password</w:t>
            </w:r>
          </w:p>
        </w:tc>
        <w:tc>
          <w:tcPr>
            <w:tcW w:w="4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[CORP_SITE_PBX_SIPPWD]</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DTMF mode</w:t>
            </w:r>
          </w:p>
        </w:tc>
        <w:tc>
          <w:tcPr>
            <w:tcW w:w="4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RFC2833</w:t>
            </w:r>
          </w:p>
        </w:tc>
      </w:tr>
      <w:tr>
        <w:trPr>
          <w:trHeight w:val="1" w:hRule="atLeast"/>
          <w:jc w:val="left"/>
        </w:trPr>
        <w:tc>
          <w:tcPr>
            <w:tcW w:w="2977"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Register</w:t>
            </w:r>
          </w:p>
        </w:tc>
        <w:tc>
          <w:tcPr>
            <w:tcW w:w="4961"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Yes</w:t>
            </w:r>
          </w:p>
        </w:tc>
      </w:tr>
      <w:tr>
        <w:trPr>
          <w:trHeight w:val="1" w:hRule="atLeast"/>
          <w:jc w:val="left"/>
        </w:trPr>
        <w:tc>
          <w:tcPr>
            <w:tcW w:w="2977"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User register</w:t>
            </w:r>
          </w:p>
        </w:tc>
        <w:tc>
          <w:tcPr>
            <w:tcW w:w="4961"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&lt;phonenumber&gt;@sip.mobistar.be</w:t>
            </w:r>
          </w:p>
        </w:tc>
      </w:tr>
      <w:tr>
        <w:trPr>
          <w:trHeight w:val="1" w:hRule="atLeast"/>
          <w:jc w:val="left"/>
        </w:trPr>
        <w:tc>
          <w:tcPr>
            <w:tcW w:w="2977"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Auth register</w:t>
            </w:r>
          </w:p>
        </w:tc>
        <w:tc>
          <w:tcPr>
            <w:tcW w:w="4961"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[CORP_ID]-[ CORP_SITE_ID]-NDG@sip.mobistar.be</w:t>
            </w:r>
          </w:p>
        </w:tc>
      </w:tr>
    </w:tbl>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Table : SIP Interface parameters for the Mobistar SIP trunk interface</w:t>
      </w:r>
    </w:p>
    <w:tbl>
      <w:tblPr/>
      <w:tblGrid>
        <w:gridCol w:w="2977"/>
        <w:gridCol w:w="4961"/>
      </w:tblGrid>
      <w:tr>
        <w:trPr>
          <w:trHeight w:val="1" w:hRule="atLeast"/>
          <w:jc w:val="left"/>
        </w:trPr>
        <w:tc>
          <w:tcPr>
            <w:tcW w:w="7938" w:type="dxa"/>
            <w:gridSpan w:val="2"/>
            <w:tcBorders>
              <w:top w:val="single" w:color="000000" w:sz="4"/>
              <w:left w:val="single" w:color="000000" w:sz="4"/>
              <w:bottom w:val="single" w:color="000000" w:sz="4"/>
              <w:right w:val="single" w:color="000000" w:sz="4"/>
            </w:tcBorders>
            <w:shd w:color="000000" w:fill="b3b3b3"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FFFFFF"/>
                <w:spacing w:val="0"/>
                <w:position w:val="0"/>
                <w:sz w:val="22"/>
                <w:shd w:fill="auto" w:val="clear"/>
              </w:rPr>
              <w:t xml:space="preserve">Advanced parameters</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b3b3b3" w:val="clear"/>
            <w:tcMar>
              <w:left w:w="108" w:type="dxa"/>
              <w:right w:w="108" w:type="dxa"/>
            </w:tcMar>
            <w:vAlign w:val="top"/>
          </w:tcPr>
          <w:p>
            <w:pPr>
              <w:spacing w:before="0" w:after="0" w:line="240"/>
              <w:ind w:right="0" w:left="0" w:firstLine="0"/>
              <w:jc w:val="both"/>
              <w:rPr>
                <w:rFonts w:ascii="Calibri" w:hAnsi="Calibri" w:cs="Calibri" w:eastAsia="Calibri"/>
                <w:spacing w:val="0"/>
                <w:position w:val="0"/>
                <w:sz w:val="22"/>
                <w:shd w:fill="auto" w:val="clear"/>
              </w:rPr>
            </w:pPr>
            <w:r>
              <w:rPr>
                <w:rFonts w:ascii="Calibri" w:hAnsi="Calibri" w:cs="Calibri" w:eastAsia="Calibri"/>
                <w:color w:val="FFFFFF"/>
                <w:spacing w:val="0"/>
                <w:position w:val="0"/>
                <w:sz w:val="22"/>
                <w:shd w:fill="auto" w:val="clear"/>
              </w:rPr>
              <w:t xml:space="preserve">Parameters</w:t>
            </w:r>
          </w:p>
        </w:tc>
        <w:tc>
          <w:tcPr>
            <w:tcW w:w="4961" w:type="dxa"/>
            <w:tcBorders>
              <w:top w:val="single" w:color="000000" w:sz="4"/>
              <w:left w:val="single" w:color="000000" w:sz="4"/>
              <w:bottom w:val="single" w:color="000000" w:sz="4"/>
              <w:right w:val="single" w:color="000000" w:sz="4"/>
            </w:tcBorders>
            <w:shd w:color="000000" w:fill="b3b3b3" w:val="clear"/>
            <w:tcMar>
              <w:left w:w="108" w:type="dxa"/>
              <w:right w:w="108" w:type="dxa"/>
            </w:tcMar>
            <w:vAlign w:val="top"/>
          </w:tcPr>
          <w:p>
            <w:pPr>
              <w:spacing w:before="0" w:after="0" w:line="240"/>
              <w:ind w:right="0" w:left="0" w:firstLine="0"/>
              <w:jc w:val="both"/>
              <w:rPr>
                <w:rFonts w:ascii="Calibri" w:hAnsi="Calibri" w:cs="Calibri" w:eastAsia="Calibri"/>
                <w:spacing w:val="0"/>
                <w:position w:val="0"/>
                <w:sz w:val="22"/>
                <w:shd w:fill="auto" w:val="clear"/>
              </w:rPr>
            </w:pPr>
            <w:r>
              <w:rPr>
                <w:rFonts w:ascii="Calibri" w:hAnsi="Calibri" w:cs="Calibri" w:eastAsia="Calibri"/>
                <w:color w:val="FFFFFF"/>
                <w:spacing w:val="0"/>
                <w:position w:val="0"/>
                <w:sz w:val="22"/>
                <w:shd w:fill="auto" w:val="clear"/>
              </w:rPr>
              <w:t xml:space="preserve">Values</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From domain</w:t>
            </w:r>
          </w:p>
        </w:tc>
        <w:tc>
          <w:tcPr>
            <w:tcW w:w="4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sip.mobistar.be</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Restriction Group (Context)</w:t>
            </w:r>
          </w:p>
        </w:tc>
        <w:tc>
          <w:tcPr>
            <w:tcW w:w="4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FromOutside (see section 5.1.2 for more information)</w:t>
            </w:r>
          </w:p>
        </w:tc>
      </w:tr>
      <w:tr>
        <w:trPr>
          <w:trHeight w:val="1" w:hRule="atLeast"/>
          <w:jc w:val="left"/>
        </w:trPr>
        <w:tc>
          <w:tcPr>
            <w:tcW w:w="2977"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CallerID Method</w:t>
            </w:r>
          </w:p>
        </w:tc>
        <w:tc>
          <w:tcPr>
            <w:tcW w:w="4961"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Use P-Preferred-id header NO CLIR (outgoing only)</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Can reinvite</w:t>
            </w:r>
          </w:p>
        </w:tc>
        <w:tc>
          <w:tcPr>
            <w:tcW w:w="4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User equals phone</w:t>
            </w:r>
          </w:p>
        </w:tc>
        <w:tc>
          <w:tcPr>
            <w:tcW w:w="4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YES</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Allow T.38</w:t>
            </w:r>
          </w:p>
        </w:tc>
        <w:tc>
          <w:tcPr>
            <w:tcW w:w="4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w:t>
            </w:r>
          </w:p>
        </w:tc>
      </w:tr>
    </w:tbl>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Table : Advanced parameters for the Mobistar SIP trunk interface</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following figure displays the Mobistar SIP trunk is defined with the ID “SOA10003”.</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object w:dxaOrig="8579" w:dyaOrig="7304">
          <v:rect xmlns:o="urn:schemas-microsoft-com:office:office" xmlns:v="urn:schemas-microsoft-com:vml" id="rectole0000000004" style="width:428.950000pt;height:365.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object w:dxaOrig="9645" w:dyaOrig="10275">
          <v:rect xmlns:o="urn:schemas-microsoft-com:office:office" xmlns:v="urn:schemas-microsoft-com:vml" id="rectole0000000005" style="width:482.250000pt;height:513.7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object w:dxaOrig="9645" w:dyaOrig="5040">
          <v:rect xmlns:o="urn:schemas-microsoft-com:office:office" xmlns:v="urn:schemas-microsoft-com:vml" id="rectole0000000006" style="width:482.250000pt;height:252.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Escaux UCS Interface for Mobistar SIP Trunk</w:t>
      </w:r>
    </w:p>
    <w:p>
      <w:pPr>
        <w:spacing w:before="200" w:after="0" w:line="240"/>
        <w:ind w:right="0" w:left="0" w:firstLine="0"/>
        <w:jc w:val="both"/>
        <w:rPr>
          <w:rFonts w:ascii="Cambria" w:hAnsi="Cambria" w:cs="Cambria" w:eastAsia="Cambria"/>
          <w:b/>
          <w:i/>
          <w:color w:val="4F81BD"/>
          <w:spacing w:val="0"/>
          <w:position w:val="0"/>
          <w:sz w:val="22"/>
          <w:shd w:fill="auto" w:val="clear"/>
        </w:rPr>
      </w:pPr>
      <w:r>
        <w:rPr>
          <w:rFonts w:ascii="Cambria" w:hAnsi="Cambria" w:cs="Cambria" w:eastAsia="Cambria"/>
          <w:b/>
          <w:i/>
          <w:color w:val="4F81BD"/>
          <w:spacing w:val="0"/>
          <w:position w:val="0"/>
          <w:sz w:val="22"/>
          <w:shd w:fill="auto" w:val="clear"/>
        </w:rPr>
        <w:t xml:space="preserve">IP Phones</w:t>
      </w:r>
    </w:p>
    <w:p>
      <w:pPr>
        <w:spacing w:before="0" w:after="120" w:line="24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 SMP GUI: Resources -&gt; IP Phones</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IP phones and faxes are represented inside the UCS as “IP phones” configuration objects. They are configured with their MAC address, types and versions. This configuration object also specifies the Restriction Group (see section 5.1.2 for more information on Restriction Groups). </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figure below shows an example of Polycom IP phone with MAC address 00:04:F2:AB:34:46.</w: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3704">
          <v:rect xmlns:o="urn:schemas-microsoft-com:office:office" xmlns:v="urn:schemas-microsoft-com:vml" id="rectole0000000007" style="width:398.200000pt;height:185.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7" ShapeID="rectole0000000007" r:id="docRId16"/>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IP phone configuration for a Polycom</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figure below shows an example of a Cisco SPA112, used to connect an analog fax device.</w:t>
      </w:r>
    </w:p>
    <w:p>
      <w:pPr>
        <w:spacing w:before="0" w:after="120" w:line="240"/>
        <w:ind w:right="0" w:left="0" w:firstLine="0"/>
        <w:jc w:val="both"/>
        <w:rPr>
          <w:rFonts w:ascii="Calibri" w:hAnsi="Calibri" w:cs="Calibri" w:eastAsia="Calibri"/>
          <w:color w:val="auto"/>
          <w:spacing w:val="0"/>
          <w:position w:val="0"/>
          <w:sz w:val="22"/>
          <w:shd w:fill="auto" w:val="clear"/>
        </w:rPr>
      </w:pPr>
      <w:r>
        <w:object w:dxaOrig="8670" w:dyaOrig="4965">
          <v:rect xmlns:o="urn:schemas-microsoft-com:office:office" xmlns:v="urn:schemas-microsoft-com:vml" id="rectole0000000008" style="width:433.500000pt;height:248.2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8" ShapeID="rectole0000000008" r:id="docRId18"/>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IP phone configuration for a Cisco SPA112</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320" w:after="200" w:line="240"/>
        <w:ind w:right="0" w:left="0" w:firstLine="0"/>
        <w:jc w:val="both"/>
        <w:rPr>
          <w:rFonts w:ascii="Arial" w:hAnsi="Arial" w:cs="Arial" w:eastAsia="Arial"/>
          <w:b/>
          <w:color w:val="4F81BD"/>
          <w:spacing w:val="0"/>
          <w:position w:val="0"/>
          <w:sz w:val="24"/>
          <w:shd w:fill="auto" w:val="clear"/>
        </w:rPr>
      </w:pPr>
      <w:r>
        <w:rPr>
          <w:rFonts w:ascii="Arial" w:hAnsi="Arial" w:cs="Arial" w:eastAsia="Arial"/>
          <w:b/>
          <w:color w:val="4F81BD"/>
          <w:spacing w:val="0"/>
          <w:position w:val="0"/>
          <w:sz w:val="24"/>
          <w:shd w:fill="auto" w:val="clear"/>
        </w:rPr>
        <w:t xml:space="preserve">Site definition</w:t>
      </w:r>
    </w:p>
    <w:p>
      <w:pPr>
        <w:spacing w:before="0" w:after="120" w:line="24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 SMP GUI: Advanced -&gt; Site Configuration</w:t>
      </w:r>
    </w:p>
    <w:p>
      <w:pPr>
        <w:spacing w:before="0" w:after="120" w:line="240"/>
        <w:ind w:right="0" w:left="0" w:firstLine="0"/>
        <w:jc w:val="both"/>
        <w:rPr>
          <w:rFonts w:ascii="Arial" w:hAnsi="Arial" w:cs="Arial" w:eastAsia="Arial"/>
          <w:color w:val="000000"/>
          <w:spacing w:val="0"/>
          <w:position w:val="0"/>
          <w:sz w:val="22"/>
          <w:shd w:fill="FFFFFF" w:val="clear"/>
        </w:rPr>
      </w:pPr>
      <w:r>
        <w:rPr>
          <w:rFonts w:ascii="Arial" w:hAnsi="Arial" w:cs="Arial" w:eastAsia="Arial"/>
          <w:color w:val="000000"/>
          <w:spacing w:val="0"/>
          <w:position w:val="0"/>
          <w:sz w:val="22"/>
          <w:shd w:fill="FFFFFF" w:val="clear"/>
        </w:rPr>
        <w:t xml:space="preserve">Sites containing IP phones can be configured inside the UCS. This is useful for Call Admission Control and Emergency call handing in case the network is composed of several sites interconnected by VPN links.</w:t>
      </w:r>
    </w:p>
    <w:p>
      <w:pPr>
        <w:spacing w:before="0" w:after="120" w:line="240"/>
        <w:ind w:right="0" w:left="0" w:firstLine="0"/>
        <w:jc w:val="both"/>
        <w:rPr>
          <w:rFonts w:ascii="Arial" w:hAnsi="Arial" w:cs="Arial" w:eastAsia="Arial"/>
          <w:color w:val="000000"/>
          <w:spacing w:val="0"/>
          <w:position w:val="0"/>
          <w:sz w:val="22"/>
          <w:shd w:fill="FFFFFF" w:val="clear"/>
        </w:rPr>
      </w:pPr>
      <w:r>
        <w:rPr>
          <w:rFonts w:ascii="Arial" w:hAnsi="Arial" w:cs="Arial" w:eastAsia="Arial"/>
          <w:color w:val="000000"/>
          <w:spacing w:val="0"/>
          <w:position w:val="0"/>
          <w:sz w:val="22"/>
          <w:shd w:fill="FFFFFF" w:val="clear"/>
        </w:rPr>
        <w:t xml:space="preserve">In a UCS connected with Mobistar, one site configuration object needs to be defined per postal code. This configuration object is used to add the prefix 969&lt;postal code&gt; to the dialed number for an emergency call, based on the site of origin of the call.</w:t>
      </w:r>
    </w:p>
    <w:p>
      <w:pPr>
        <w:spacing w:before="0" w:after="120" w:line="240"/>
        <w:ind w:right="0" w:left="0" w:firstLine="0"/>
        <w:jc w:val="both"/>
        <w:rPr>
          <w:rFonts w:ascii="Arial" w:hAnsi="Arial" w:cs="Arial" w:eastAsia="Arial"/>
          <w:color w:val="000000"/>
          <w:spacing w:val="0"/>
          <w:position w:val="0"/>
          <w:sz w:val="22"/>
          <w:shd w:fill="FFFFFF" w:val="clear"/>
        </w:rPr>
      </w:pPr>
      <w:r>
        <w:rPr>
          <w:rFonts w:ascii="Arial" w:hAnsi="Arial" w:cs="Arial" w:eastAsia="Arial"/>
          <w:color w:val="000000"/>
          <w:spacing w:val="0"/>
          <w:position w:val="0"/>
          <w:sz w:val="22"/>
          <w:shd w:fill="FFFFFF" w:val="clear"/>
        </w:rPr>
        <w:t xml:space="preserve">Here is an example of site definition for Ixelles/Elsene, with postal code 1050.</w: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2610">
          <v:rect xmlns:o="urn:schemas-microsoft-com:office:office" xmlns:v="urn:schemas-microsoft-com:vml" id="rectole0000000009" style="width:398.200000pt;height:130.5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9" ShapeID="rectole0000000009" r:id="docRId20"/>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Site definition example</w:t>
      </w:r>
    </w:p>
    <w:p>
      <w:pPr>
        <w:spacing w:before="320" w:after="200" w:line="240"/>
        <w:ind w:right="0" w:left="0" w:firstLine="0"/>
        <w:jc w:val="both"/>
        <w:rPr>
          <w:rFonts w:ascii="Arial" w:hAnsi="Arial" w:cs="Arial" w:eastAsia="Arial"/>
          <w:b/>
          <w:color w:val="4F81BD"/>
          <w:spacing w:val="0"/>
          <w:position w:val="0"/>
          <w:sz w:val="24"/>
          <w:shd w:fill="auto" w:val="clear"/>
        </w:rPr>
      </w:pPr>
      <w:r>
        <w:rPr>
          <w:rFonts w:ascii="Arial" w:hAnsi="Arial" w:cs="Arial" w:eastAsia="Arial"/>
          <w:b/>
          <w:color w:val="4F81BD"/>
          <w:spacing w:val="0"/>
          <w:position w:val="0"/>
          <w:sz w:val="24"/>
          <w:shd w:fill="auto" w:val="clear"/>
        </w:rPr>
        <w:t xml:space="preserve">Network definition</w:t>
      </w:r>
    </w:p>
    <w:p>
      <w:pPr>
        <w:spacing w:before="0" w:after="120" w:line="24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 SMP GUI: Advanced -&gt; Network Configuration</w:t>
      </w:r>
    </w:p>
    <w:p>
      <w:pPr>
        <w:spacing w:before="0" w:after="120" w:line="240"/>
        <w:ind w:right="0" w:left="0" w:firstLine="0"/>
        <w:jc w:val="both"/>
        <w:rPr>
          <w:rFonts w:ascii="Arial" w:hAnsi="Arial" w:cs="Arial" w:eastAsia="Arial"/>
          <w:color w:val="000000"/>
          <w:spacing w:val="0"/>
          <w:position w:val="0"/>
          <w:sz w:val="22"/>
          <w:shd w:fill="FFFFFF" w:val="clear"/>
        </w:rPr>
      </w:pPr>
      <w:r>
        <w:rPr>
          <w:rFonts w:ascii="Arial" w:hAnsi="Arial" w:cs="Arial" w:eastAsia="Arial"/>
          <w:color w:val="000000"/>
          <w:spacing w:val="0"/>
          <w:position w:val="0"/>
          <w:sz w:val="22"/>
          <w:shd w:fill="FFFFFF" w:val="clear"/>
        </w:rPr>
        <w:t xml:space="preserve">A site is composed out of one or various Local Area Networks (LAN). These LAN segments identify a particular network region. Local network(s) can be linked to site locations defined in section 5.1.2</w:t>
      </w:r>
    </w:p>
    <w:p>
      <w:pPr>
        <w:spacing w:before="0" w:after="120" w:line="240"/>
        <w:ind w:right="0" w:left="0" w:firstLine="0"/>
        <w:jc w:val="both"/>
        <w:rPr>
          <w:rFonts w:ascii="Calibri" w:hAnsi="Calibri" w:cs="Calibri" w:eastAsia="Calibri"/>
          <w:color w:val="auto"/>
          <w:spacing w:val="0"/>
          <w:position w:val="0"/>
          <w:sz w:val="22"/>
          <w:shd w:fill="auto" w:val="clear"/>
        </w:rPr>
      </w:pPr>
    </w:p>
    <w:tbl>
      <w:tblPr/>
      <w:tblGrid>
        <w:gridCol w:w="2977"/>
        <w:gridCol w:w="4961"/>
      </w:tblGrid>
      <w:tr>
        <w:trPr>
          <w:trHeight w:val="1" w:hRule="atLeast"/>
          <w:jc w:val="left"/>
        </w:trPr>
        <w:tc>
          <w:tcPr>
            <w:tcW w:w="7938" w:type="dxa"/>
            <w:gridSpan w:val="2"/>
            <w:tcBorders>
              <w:top w:val="single" w:color="000000" w:sz="4"/>
              <w:left w:val="single" w:color="000000" w:sz="4"/>
              <w:bottom w:val="single" w:color="000000" w:sz="4"/>
              <w:right w:val="single" w:color="000000" w:sz="4"/>
            </w:tcBorders>
            <w:shd w:color="000000" w:fill="b3b3b3" w:val="clear"/>
            <w:tcMar>
              <w:left w:w="108" w:type="dxa"/>
              <w:right w:w="108" w:type="dxa"/>
            </w:tcMar>
            <w:vAlign w:val="top"/>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FFFFFF"/>
                <w:spacing w:val="0"/>
                <w:position w:val="0"/>
                <w:sz w:val="22"/>
                <w:shd w:fill="auto" w:val="clear"/>
              </w:rPr>
              <w:t xml:space="preserve">Network definition</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b3b3b3" w:val="clear"/>
            <w:tcMar>
              <w:left w:w="108" w:type="dxa"/>
              <w:right w:w="108" w:type="dxa"/>
            </w:tcMar>
            <w:vAlign w:val="top"/>
          </w:tcPr>
          <w:p>
            <w:pPr>
              <w:spacing w:before="0" w:after="0" w:line="240"/>
              <w:ind w:right="0" w:left="0" w:firstLine="0"/>
              <w:jc w:val="both"/>
              <w:rPr>
                <w:rFonts w:ascii="Calibri" w:hAnsi="Calibri" w:cs="Calibri" w:eastAsia="Calibri"/>
                <w:spacing w:val="0"/>
                <w:position w:val="0"/>
                <w:sz w:val="22"/>
                <w:shd w:fill="auto" w:val="clear"/>
              </w:rPr>
            </w:pPr>
            <w:r>
              <w:rPr>
                <w:rFonts w:ascii="Calibri" w:hAnsi="Calibri" w:cs="Calibri" w:eastAsia="Calibri"/>
                <w:color w:val="FFFFFF"/>
                <w:spacing w:val="0"/>
                <w:position w:val="0"/>
                <w:sz w:val="22"/>
                <w:shd w:fill="auto" w:val="clear"/>
              </w:rPr>
              <w:t xml:space="preserve">Parameters</w:t>
            </w:r>
          </w:p>
        </w:tc>
        <w:tc>
          <w:tcPr>
            <w:tcW w:w="4961" w:type="dxa"/>
            <w:tcBorders>
              <w:top w:val="single" w:color="000000" w:sz="4"/>
              <w:left w:val="single" w:color="000000" w:sz="4"/>
              <w:bottom w:val="single" w:color="000000" w:sz="4"/>
              <w:right w:val="single" w:color="000000" w:sz="4"/>
            </w:tcBorders>
            <w:shd w:color="000000" w:fill="b3b3b3" w:val="clear"/>
            <w:tcMar>
              <w:left w:w="108" w:type="dxa"/>
              <w:right w:w="108" w:type="dxa"/>
            </w:tcMar>
            <w:vAlign w:val="top"/>
          </w:tcPr>
          <w:p>
            <w:pPr>
              <w:spacing w:before="0" w:after="0" w:line="240"/>
              <w:ind w:right="0" w:left="0" w:firstLine="0"/>
              <w:jc w:val="both"/>
              <w:rPr>
                <w:rFonts w:ascii="Calibri" w:hAnsi="Calibri" w:cs="Calibri" w:eastAsia="Calibri"/>
                <w:spacing w:val="0"/>
                <w:position w:val="0"/>
                <w:sz w:val="22"/>
                <w:shd w:fill="auto" w:val="clear"/>
              </w:rPr>
            </w:pPr>
            <w:r>
              <w:rPr>
                <w:rFonts w:ascii="Calibri" w:hAnsi="Calibri" w:cs="Calibri" w:eastAsia="Calibri"/>
                <w:color w:val="FFFFFF"/>
                <w:spacing w:val="0"/>
                <w:position w:val="0"/>
                <w:sz w:val="22"/>
                <w:shd w:fill="auto" w:val="clear"/>
              </w:rPr>
              <w:t xml:space="preserve">Values</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Site</w:t>
            </w:r>
          </w:p>
        </w:tc>
        <w:tc>
          <w:tcPr>
            <w:tcW w:w="4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z w:val="22"/>
              </w:rPr>
            </w:pPr>
            <w:r>
              <w:rPr>
                <w:rFonts w:ascii="Calibri" w:hAnsi="Calibri" w:cs="Calibri" w:eastAsia="Calibri"/>
                <w:color w:val="auto"/>
                <w:spacing w:val="0"/>
                <w:position w:val="0"/>
                <w:sz w:val="22"/>
                <w:shd w:fill="auto" w:val="clear"/>
              </w:rPr>
              <w:t xml:space="preserve">as defined in section </w:t>
            </w:r>
            <w:r>
              <w:rPr>
                <w:rFonts w:ascii="Arial" w:hAnsi="Arial" w:cs="Arial" w:eastAsia="Arial"/>
                <w:color w:val="000000"/>
                <w:spacing w:val="0"/>
                <w:position w:val="0"/>
                <w:sz w:val="22"/>
                <w:shd w:fill="FFFFFF" w:val="clear"/>
              </w:rPr>
              <w:t xml:space="preserve">5.1.2</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Network address</w:t>
            </w:r>
          </w:p>
        </w:tc>
        <w:tc>
          <w:tcPr>
            <w:tcW w:w="4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[PHONE_SUBNET]</w:t>
            </w:r>
          </w:p>
        </w:tc>
      </w:tr>
      <w:tr>
        <w:trPr>
          <w:trHeight w:val="1" w:hRule="atLeast"/>
          <w:jc w:val="left"/>
        </w:trPr>
        <w:tc>
          <w:tcPr>
            <w:tcW w:w="29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Netmask</w:t>
            </w:r>
          </w:p>
        </w:tc>
        <w:tc>
          <w:tcPr>
            <w:tcW w:w="4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[PHONE_SUBNETMASK]</w:t>
            </w:r>
          </w:p>
        </w:tc>
      </w:tr>
    </w:tbl>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Table : Network Definition</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320" w:after="200" w:line="240"/>
        <w:ind w:right="0" w:left="0" w:firstLine="0"/>
        <w:jc w:val="both"/>
        <w:rPr>
          <w:rFonts w:ascii="Arial" w:hAnsi="Arial" w:cs="Arial" w:eastAsia="Arial"/>
          <w:b/>
          <w:color w:val="4F81BD"/>
          <w:spacing w:val="0"/>
          <w:position w:val="0"/>
          <w:sz w:val="24"/>
          <w:shd w:fill="auto" w:val="clear"/>
        </w:rPr>
      </w:pPr>
      <w:r>
        <w:rPr>
          <w:rFonts w:ascii="Arial" w:hAnsi="Arial" w:cs="Arial" w:eastAsia="Arial"/>
          <w:b/>
          <w:color w:val="4F81BD"/>
          <w:spacing w:val="0"/>
          <w:position w:val="0"/>
          <w:sz w:val="24"/>
          <w:shd w:fill="auto" w:val="clear"/>
        </w:rPr>
        <w:t xml:space="preserve">Extensions</w:t>
      </w:r>
    </w:p>
    <w:p>
      <w:pPr>
        <w:spacing w:before="0" w:after="120" w:line="24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 SMP GUI: Directory -&gt; Internal Directory</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purpose of this section is to briefly describe the concept of an extension in Escaux UCS. An extension is an internal phone number (user extension), but it can also be the trigger point for a call flow</w:t>
      </w:r>
    </w:p>
    <w:p>
      <w:pPr>
        <w:spacing w:before="200" w:after="0" w:line="240"/>
        <w:ind w:right="0" w:left="0" w:firstLine="0"/>
        <w:jc w:val="both"/>
        <w:rPr>
          <w:rFonts w:ascii="Cambria" w:hAnsi="Cambria" w:cs="Cambria" w:eastAsia="Cambria"/>
          <w:b/>
          <w:i/>
          <w:color w:val="4F81BD"/>
          <w:spacing w:val="0"/>
          <w:position w:val="0"/>
          <w:sz w:val="22"/>
          <w:shd w:fill="auto" w:val="clear"/>
        </w:rPr>
      </w:pPr>
      <w:r>
        <w:rPr>
          <w:rFonts w:ascii="Cambria" w:hAnsi="Cambria" w:cs="Cambria" w:eastAsia="Cambria"/>
          <w:b/>
          <w:i/>
          <w:color w:val="4F81BD"/>
          <w:spacing w:val="0"/>
          <w:position w:val="0"/>
          <w:sz w:val="22"/>
          <w:shd w:fill="auto" w:val="clear"/>
        </w:rPr>
        <w:t xml:space="preserve">User extension</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Each user extension is included inside the Directory, including First Name, Last Name, Primary Phone (IP phones defined in section 5.1.1) and Call flow.</w: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1725">
          <v:rect xmlns:o="urn:schemas-microsoft-com:office:office" xmlns:v="urn:schemas-microsoft-com:vml" id="rectole0000000010" style="width:398.200000pt;height:86.2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0" ShapeID="rectole0000000010" r:id="docRId22"/>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Extensions and Directory</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One can modify each extension supplementary services by clicking on the icon </w:t>
      </w:r>
      <w:r>
        <w:object w:dxaOrig="464" w:dyaOrig="464">
          <v:rect xmlns:o="urn:schemas-microsoft-com:office:office" xmlns:v="urn:schemas-microsoft-com:vml" id="rectole0000000011" style="width:23.200000pt;height:23.2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1" ShapeID="rectole0000000011" r:id="docRId24"/>
        </w:object>
      </w:r>
      <w:r>
        <w:rPr>
          <w:rFonts w:ascii="Calibri" w:hAnsi="Calibri" w:cs="Calibri" w:eastAsia="Calibri"/>
          <w:color w:val="auto"/>
          <w:spacing w:val="0"/>
          <w:position w:val="0"/>
          <w:sz w:val="22"/>
          <w:shd w:fill="auto" w:val="clear"/>
        </w:rPr>
        <w:t xml:space="preserve"> in front of the call flow name.</w: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6224">
          <v:rect xmlns:o="urn:schemas-microsoft-com:office:office" xmlns:v="urn:schemas-microsoft-com:vml" id="rectole0000000012" style="width:398.200000pt;height:311.2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2" ShapeID="rectole0000000012" r:id="docRId26"/>
        </w:objec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6120">
          <v:rect xmlns:o="urn:schemas-microsoft-com:office:office" xmlns:v="urn:schemas-microsoft-com:vml" id="rectole0000000013" style="width:398.200000pt;height:306.0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3" ShapeID="rectole0000000013" r:id="docRId28"/>
        </w:objec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4575">
          <v:rect xmlns:o="urn:schemas-microsoft-com:office:office" xmlns:v="urn:schemas-microsoft-com:vml" id="rectole0000000014" style="width:398.200000pt;height:228.7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4" ShapeID="rectole0000000014" r:id="docRId30"/>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Profile Parameter Management (user extension)</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Call Forwarding Unconditional can be enabled (“Forward all calls” should be set to “yes”).</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section “My communication flow” can be used to enable call waiting (“When I am on the phone, warn me for new incoming calls”), Forwarding busy (“When I am on the phone, forward my calls”). Call Forwarding on no reply is configured as a “Second action” (using, for example, “When I do not answer, send to my alternative number”, where the alternative number is defined in “General Settings”).</w:t>
      </w:r>
    </w:p>
    <w:p>
      <w:pPr>
        <w:spacing w:before="200" w:after="0" w:line="240"/>
        <w:ind w:right="0" w:left="0" w:firstLine="0"/>
        <w:jc w:val="both"/>
        <w:rPr>
          <w:rFonts w:ascii="Cambria" w:hAnsi="Cambria" w:cs="Cambria" w:eastAsia="Cambria"/>
          <w:b/>
          <w:i/>
          <w:color w:val="4F81BD"/>
          <w:spacing w:val="0"/>
          <w:position w:val="0"/>
          <w:sz w:val="22"/>
          <w:shd w:fill="auto" w:val="clear"/>
        </w:rPr>
      </w:pPr>
      <w:r>
        <w:rPr>
          <w:rFonts w:ascii="Cambria" w:hAnsi="Cambria" w:cs="Cambria" w:eastAsia="Cambria"/>
          <w:b/>
          <w:i/>
          <w:color w:val="4F81BD"/>
          <w:spacing w:val="0"/>
          <w:position w:val="0"/>
          <w:sz w:val="22"/>
          <w:shd w:fill="auto" w:val="clear"/>
        </w:rPr>
        <w:t xml:space="preserve">Extension for outgoing calls</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Other extensions are not linked to specific phones or users. Their purpose is internal. In the context of SIP trunking, following extensions are important:</w:t>
      </w:r>
    </w:p>
    <w:p>
      <w:pPr>
        <w:numPr>
          <w:ilvl w:val="0"/>
          <w:numId w:val="230"/>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extension 89991001 is used for outgoing calls (with the call flow Template-OutgoingCallcatcher.Service)</w:t>
      </w:r>
    </w:p>
    <w:p>
      <w:pPr>
        <w:numPr>
          <w:ilvl w:val="0"/>
          <w:numId w:val="230"/>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The extension 89991000 is used for incoming calls (with the call flow UC-Technical-IncomingCallcatcher.Service)</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We can modify the properties of the call flow for outgoing calls by clicking on the icon </w:t>
      </w:r>
      <w:r>
        <w:object w:dxaOrig="464" w:dyaOrig="464">
          <v:rect xmlns:o="urn:schemas-microsoft-com:office:office" xmlns:v="urn:schemas-microsoft-com:vml" id="rectole0000000015" style="width:23.200000pt;height:23.2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5" ShapeID="rectole0000000015" r:id="docRId32"/>
        </w:object>
      </w:r>
      <w:r>
        <w:rPr>
          <w:rFonts w:ascii="Calibri" w:hAnsi="Calibri" w:cs="Calibri" w:eastAsia="Calibri"/>
          <w:color w:val="auto"/>
          <w:spacing w:val="0"/>
          <w:position w:val="0"/>
          <w:sz w:val="22"/>
          <w:shd w:fill="auto" w:val="clear"/>
        </w:rPr>
        <w:t xml:space="preserve"> in front of the call flow profile name Template-OutgoingCallcatcher.Service.</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This is where we can specify the ID of the SIP trunk that needs to be used for outgoing call (in our example on Figure 5, the SIP Trunk ID is “SOA10001). </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This is also where we can set the emergency number configuration mode to “prefixed”: which is needed to add the prefix 969&lt;postal code&gt; to emergency numbers.</w: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4635">
          <v:rect xmlns:o="urn:schemas-microsoft-com:office:office" xmlns:v="urn:schemas-microsoft-com:vml" id="rectole0000000016" style="width:398.200000pt;height:231.7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6" ShapeID="rectole0000000016" r:id="docRId34"/>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Profile Parameter Management (outgoingCallcatcher)</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Note</w:t>
      </w:r>
      <w:r>
        <w:rPr>
          <w:rFonts w:ascii="Calibri" w:hAnsi="Calibri" w:cs="Calibri" w:eastAsia="Calibri"/>
          <w:color w:val="auto"/>
          <w:spacing w:val="0"/>
          <w:position w:val="0"/>
          <w:sz w:val="22"/>
          <w:shd w:fill="auto" w:val="clear"/>
        </w:rPr>
        <w:t xml:space="preserve">: as specified in </w:t>
      </w:r>
      <w:r>
        <w:rPr>
          <w:rFonts w:ascii="Calibri" w:hAnsi="Calibri" w:cs="Calibri" w:eastAsia="Calibri"/>
          <w:b/>
          <w:color w:val="auto"/>
          <w:spacing w:val="0"/>
          <w:position w:val="0"/>
          <w:sz w:val="22"/>
          <w:shd w:fill="auto" w:val="clear"/>
        </w:rPr>
        <w:t xml:space="preserve">Callflow Studio -&gt; Callflow Assignment</w:t>
      </w:r>
      <w:r>
        <w:rPr>
          <w:rFonts w:ascii="Calibri" w:hAnsi="Calibri" w:cs="Calibri" w:eastAsia="Calibri"/>
          <w:color w:val="auto"/>
          <w:spacing w:val="0"/>
          <w:position w:val="0"/>
          <w:sz w:val="22"/>
          <w:shd w:fill="auto" w:val="clear"/>
        </w:rPr>
        <w:t xml:space="preserve">, the Callflow profile “Template-OutgoingCallcatcher.Service » is mapped to the Call flow root *136. The call flow with the root *136 is shown in </w:t>
      </w:r>
      <w:r>
        <w:rPr>
          <w:rFonts w:ascii="Calibri" w:hAnsi="Calibri" w:cs="Calibri" w:eastAsia="Calibri"/>
          <w:b/>
          <w:color w:val="auto"/>
          <w:spacing w:val="0"/>
          <w:position w:val="0"/>
          <w:sz w:val="22"/>
          <w:shd w:fill="auto" w:val="clear"/>
        </w:rPr>
        <w:t xml:space="preserve">Callflow Studio -&gt; Callflow</w:t>
      </w:r>
      <w:r>
        <w:rPr>
          <w:rFonts w:ascii="Calibri" w:hAnsi="Calibri" w:cs="Calibri" w:eastAsia="Calibri"/>
          <w:color w:val="auto"/>
          <w:spacing w:val="0"/>
          <w:position w:val="0"/>
          <w:sz w:val="22"/>
          <w:shd w:fill="auto" w:val="clear"/>
        </w:rPr>
        <w:t xml:space="preserve"> and contains the call handling logic for outgoing calls to Mobistar SIP trunking (including emergency call handling).</w:t>
      </w:r>
    </w:p>
    <w:p>
      <w:pPr>
        <w:spacing w:before="200" w:after="0" w:line="240"/>
        <w:ind w:right="0" w:left="0" w:firstLine="0"/>
        <w:jc w:val="both"/>
        <w:rPr>
          <w:rFonts w:ascii="Cambria" w:hAnsi="Cambria" w:cs="Cambria" w:eastAsia="Cambria"/>
          <w:b/>
          <w:i/>
          <w:color w:val="4F81BD"/>
          <w:spacing w:val="0"/>
          <w:position w:val="0"/>
          <w:sz w:val="22"/>
          <w:shd w:fill="auto" w:val="clear"/>
        </w:rPr>
      </w:pPr>
      <w:r>
        <w:rPr>
          <w:rFonts w:ascii="Cambria" w:hAnsi="Cambria" w:cs="Cambria" w:eastAsia="Cambria"/>
          <w:b/>
          <w:i/>
          <w:color w:val="4F81BD"/>
          <w:spacing w:val="0"/>
          <w:position w:val="0"/>
          <w:sz w:val="22"/>
          <w:shd w:fill="auto" w:val="clear"/>
        </w:rPr>
        <w:t xml:space="preserve">Extension for outgoing calls</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We can modify the properties of the call flow for incoming calls by clicking on the icon </w:t>
      </w:r>
      <w:r>
        <w:object w:dxaOrig="464" w:dyaOrig="464">
          <v:rect xmlns:o="urn:schemas-microsoft-com:office:office" xmlns:v="urn:schemas-microsoft-com:vml" id="rectole0000000017" style="width:23.200000pt;height:23.2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7" ShapeID="rectole0000000017" r:id="docRId36"/>
        </w:object>
      </w:r>
      <w:r>
        <w:rPr>
          <w:rFonts w:ascii="Calibri" w:hAnsi="Calibri" w:cs="Calibri" w:eastAsia="Calibri"/>
          <w:color w:val="auto"/>
          <w:spacing w:val="0"/>
          <w:position w:val="0"/>
          <w:sz w:val="22"/>
          <w:shd w:fill="auto" w:val="clear"/>
        </w:rPr>
        <w:t xml:space="preserve"> in front of the call flow name UC-Technical-IncomingCallcatcher.Service.</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parameter “Translate callers” should be set to “Yes”.</w: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2984">
          <v:rect xmlns:o="urn:schemas-microsoft-com:office:office" xmlns:v="urn:schemas-microsoft-com:vml" id="rectole0000000018" style="width:398.200000pt;height:149.2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8" ShapeID="rectole0000000018" r:id="docRId38"/>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Profile Parameter Management (UC-Technical-IncomingCallcatcher)</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Note</w:t>
      </w:r>
      <w:r>
        <w:rPr>
          <w:rFonts w:ascii="Calibri" w:hAnsi="Calibri" w:cs="Calibri" w:eastAsia="Calibri"/>
          <w:color w:val="auto"/>
          <w:spacing w:val="0"/>
          <w:position w:val="0"/>
          <w:sz w:val="22"/>
          <w:shd w:fill="auto" w:val="clear"/>
        </w:rPr>
        <w:t xml:space="preserve">: as specified in </w:t>
      </w:r>
      <w:r>
        <w:rPr>
          <w:rFonts w:ascii="Calibri" w:hAnsi="Calibri" w:cs="Calibri" w:eastAsia="Calibri"/>
          <w:b/>
          <w:color w:val="auto"/>
          <w:spacing w:val="0"/>
          <w:position w:val="0"/>
          <w:sz w:val="22"/>
          <w:shd w:fill="auto" w:val="clear"/>
        </w:rPr>
        <w:t xml:space="preserve">Callflow Studio -&gt; Callflow Assignment</w:t>
      </w:r>
      <w:r>
        <w:rPr>
          <w:rFonts w:ascii="Calibri" w:hAnsi="Calibri" w:cs="Calibri" w:eastAsia="Calibri"/>
          <w:color w:val="auto"/>
          <w:spacing w:val="0"/>
          <w:position w:val="0"/>
          <w:sz w:val="22"/>
          <w:shd w:fill="auto" w:val="clear"/>
        </w:rPr>
        <w:t xml:space="preserve">, the Callflow profile “UC-Technical-IncomingCallcatcher.Service » is mapped to the Call flow root *126. The call flow with the root *126 is shown in </w:t>
      </w:r>
      <w:r>
        <w:rPr>
          <w:rFonts w:ascii="Calibri" w:hAnsi="Calibri" w:cs="Calibri" w:eastAsia="Calibri"/>
          <w:b/>
          <w:color w:val="auto"/>
          <w:spacing w:val="0"/>
          <w:position w:val="0"/>
          <w:sz w:val="22"/>
          <w:shd w:fill="auto" w:val="clear"/>
        </w:rPr>
        <w:t xml:space="preserve">Callflow Studio -&gt; Callflow</w:t>
      </w:r>
      <w:r>
        <w:rPr>
          <w:rFonts w:ascii="Calibri" w:hAnsi="Calibri" w:cs="Calibri" w:eastAsia="Calibri"/>
          <w:color w:val="auto"/>
          <w:spacing w:val="0"/>
          <w:position w:val="0"/>
          <w:sz w:val="22"/>
          <w:shd w:fill="auto" w:val="clear"/>
        </w:rPr>
        <w:t xml:space="preserve"> and contains the call handling logic for incoming calls from Mobistar SIP trunking.</w:t>
      </w:r>
    </w:p>
    <w:p>
      <w:pPr>
        <w:spacing w:before="320" w:after="200" w:line="240"/>
        <w:ind w:right="0" w:left="0" w:firstLine="0"/>
        <w:jc w:val="both"/>
        <w:rPr>
          <w:rFonts w:ascii="Arial" w:hAnsi="Arial" w:cs="Arial" w:eastAsia="Arial"/>
          <w:b/>
          <w:color w:val="4F81BD"/>
          <w:spacing w:val="0"/>
          <w:position w:val="0"/>
          <w:sz w:val="24"/>
          <w:shd w:fill="auto" w:val="clear"/>
        </w:rPr>
      </w:pPr>
      <w:r>
        <w:rPr>
          <w:rFonts w:ascii="Arial" w:hAnsi="Arial" w:cs="Arial" w:eastAsia="Arial"/>
          <w:b/>
          <w:color w:val="4F81BD"/>
          <w:spacing w:val="0"/>
          <w:position w:val="0"/>
          <w:sz w:val="24"/>
          <w:shd w:fill="auto" w:val="clear"/>
        </w:rPr>
        <w:t xml:space="preserve">Call Routing</w:t>
      </w:r>
    </w:p>
    <w:p>
      <w:pPr>
        <w:spacing w:before="200" w:after="0" w:line="240"/>
        <w:ind w:right="0" w:left="0" w:firstLine="0"/>
        <w:jc w:val="both"/>
        <w:rPr>
          <w:rFonts w:ascii="Cambria" w:hAnsi="Cambria" w:cs="Cambria" w:eastAsia="Cambria"/>
          <w:b/>
          <w:i/>
          <w:color w:val="4F81BD"/>
          <w:spacing w:val="0"/>
          <w:position w:val="0"/>
          <w:sz w:val="22"/>
          <w:shd w:fill="auto" w:val="clear"/>
        </w:rPr>
      </w:pPr>
      <w:r>
        <w:rPr>
          <w:rFonts w:ascii="Cambria" w:hAnsi="Cambria" w:cs="Cambria" w:eastAsia="Cambria"/>
          <w:b/>
          <w:i/>
          <w:color w:val="4F81BD"/>
          <w:spacing w:val="0"/>
          <w:position w:val="0"/>
          <w:sz w:val="22"/>
          <w:shd w:fill="auto" w:val="clear"/>
        </w:rPr>
        <w:t xml:space="preserve">Route Group</w:t>
      </w:r>
    </w:p>
    <w:p>
      <w:pPr>
        <w:spacing w:before="0" w:after="120" w:line="24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 SMP GUI: Call Routing -&gt; Route Groups and Restriction Groups</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route group is simply a number of routes grouped together for a certain reason.</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the Figure below, several Route Groups are configured for breakout : mobile, national, international, premium, emergency, DefaultOut. One Route Group is configured for incoming calls :  catchAll</w: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4995">
          <v:rect xmlns:o="urn:schemas-microsoft-com:office:office" xmlns:v="urn:schemas-microsoft-com:vml" id="rectole0000000019" style="width:398.200000pt;height:249.7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19" ShapeID="rectole0000000019" r:id="docRId40"/>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Route Groups</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200" w:after="0" w:line="240"/>
        <w:ind w:right="0" w:left="0" w:firstLine="0"/>
        <w:jc w:val="both"/>
        <w:rPr>
          <w:rFonts w:ascii="Cambria" w:hAnsi="Cambria" w:cs="Cambria" w:eastAsia="Cambria"/>
          <w:b/>
          <w:i/>
          <w:color w:val="4F81BD"/>
          <w:spacing w:val="0"/>
          <w:position w:val="0"/>
          <w:sz w:val="22"/>
          <w:shd w:fill="auto" w:val="clear"/>
        </w:rPr>
      </w:pPr>
      <w:r>
        <w:rPr>
          <w:rFonts w:ascii="Cambria" w:hAnsi="Cambria" w:cs="Cambria" w:eastAsia="Cambria"/>
          <w:b/>
          <w:i/>
          <w:color w:val="4F81BD"/>
          <w:spacing w:val="0"/>
          <w:position w:val="0"/>
          <w:sz w:val="22"/>
          <w:shd w:fill="auto" w:val="clear"/>
        </w:rPr>
        <w:t xml:space="preserve">Restriction Group</w:t>
      </w:r>
    </w:p>
    <w:p>
      <w:pPr>
        <w:spacing w:before="0" w:after="120" w:line="24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 SMP GUI: Call Routing -&gt; Restriction Groups Configuration</w:t>
      </w:r>
    </w:p>
    <w:p>
      <w:pPr>
        <w:spacing w:before="0" w:after="120" w:line="240"/>
        <w:ind w:right="0" w:left="0" w:firstLine="0"/>
        <w:jc w:val="both"/>
        <w:rPr>
          <w:rFonts w:ascii="Calibri" w:hAnsi="Calibri" w:cs="Calibri" w:eastAsia="Calibri"/>
          <w:color w:val="000000"/>
          <w:spacing w:val="0"/>
          <w:position w:val="0"/>
          <w:sz w:val="22"/>
          <w:shd w:fill="FFFFFF" w:val="clear"/>
        </w:rPr>
      </w:pPr>
      <w:r>
        <w:rPr>
          <w:rFonts w:ascii="Calibri" w:hAnsi="Calibri" w:cs="Calibri" w:eastAsia="Calibri"/>
          <w:color w:val="000000"/>
          <w:spacing w:val="0"/>
          <w:position w:val="0"/>
          <w:sz w:val="22"/>
          <w:shd w:fill="FFFFFF" w:val="clear"/>
        </w:rPr>
        <w:t xml:space="preserve">A restriction group is a list of route groups that will be used as permissions: </w:t>
      </w:r>
    </w:p>
    <w:p>
      <w:pPr>
        <w:numPr>
          <w:ilvl w:val="0"/>
          <w:numId w:val="245"/>
        </w:numPr>
        <w:spacing w:before="0" w:after="0" w:line="240"/>
        <w:ind w:right="0" w:left="720" w:hanging="360"/>
        <w:jc w:val="left"/>
        <w:rPr>
          <w:rFonts w:ascii="Calibri" w:hAnsi="Calibri" w:cs="Calibri" w:eastAsia="Calibri"/>
          <w:color w:val="000000"/>
          <w:spacing w:val="0"/>
          <w:position w:val="0"/>
          <w:sz w:val="22"/>
          <w:shd w:fill="FFFFFF" w:val="clear"/>
        </w:rPr>
      </w:pPr>
      <w:r>
        <w:rPr>
          <w:rFonts w:ascii="Calibri" w:hAnsi="Calibri" w:cs="Calibri" w:eastAsia="Calibri"/>
          <w:color w:val="000000"/>
          <w:spacing w:val="0"/>
          <w:position w:val="0"/>
          <w:sz w:val="22"/>
          <w:shd w:fill="FFFFFF" w:val="clear"/>
        </w:rPr>
        <w:t xml:space="preserve">All users in a restriction group can only call numbers that correspond to routes in the route groups of the restriction group.</w:t>
      </w:r>
    </w:p>
    <w:p>
      <w:pPr>
        <w:numPr>
          <w:ilvl w:val="0"/>
          <w:numId w:val="245"/>
        </w:numPr>
        <w:spacing w:before="0" w:after="0" w:line="240"/>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Incoming calls using a SIP Trunk in a Restriction Group can only call numbers that correspond to routes in the route groups of the restriction group.</w:t>
      </w:r>
    </w:p>
    <w:p>
      <w:pPr>
        <w:numPr>
          <w:ilvl w:val="0"/>
          <w:numId w:val="245"/>
        </w:numPr>
        <w:spacing w:before="0" w:after="0" w:line="240"/>
        <w:ind w:right="0" w:left="720" w:hanging="360"/>
        <w:jc w:val="left"/>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the configuration example of Figure 14, </w:t>
      </w:r>
    </w:p>
    <w:p>
      <w:pPr>
        <w:numPr>
          <w:ilvl w:val="0"/>
          <w:numId w:val="247"/>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Restriction Group FromOutside (specified at SIP Trunk group level, see section Figure 5) allows all routes in the route group catchall</w:t>
      </w:r>
    </w:p>
    <w:p>
      <w:pPr>
        <w:numPr>
          <w:ilvl w:val="0"/>
          <w:numId w:val="247"/>
        </w:numPr>
        <w:spacing w:before="0" w:after="120" w:line="240"/>
        <w:ind w:right="0" w:left="72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Restriction Groups NoRestrict (specified at the level of the IP Phone see Figure 6) allows all routes in the route group default, incoming, internal, international, mobile, premium, national, emergency and service.</w: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3614">
          <v:rect xmlns:o="urn:schemas-microsoft-com:office:office" xmlns:v="urn:schemas-microsoft-com:vml" id="rectole0000000020" style="width:398.200000pt;height:180.7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0" ShapeID="rectole0000000020" r:id="docRId42"/>
        </w:objec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269">
          <v:rect xmlns:o="urn:schemas-microsoft-com:office:office" xmlns:v="urn:schemas-microsoft-com:vml" id="rectole0000000021" style="width:398.200000pt;height:13.4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1" ShapeID="rectole0000000021" r:id="docRId44"/>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Restriction Groups</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Note</w:t>
      </w:r>
      <w:r>
        <w:rPr>
          <w:rFonts w:ascii="Calibri" w:hAnsi="Calibri" w:cs="Calibri" w:eastAsia="Calibri"/>
          <w:color w:val="auto"/>
          <w:spacing w:val="0"/>
          <w:position w:val="0"/>
          <w:sz w:val="22"/>
          <w:shd w:fill="auto" w:val="clear"/>
        </w:rPr>
        <w:t xml:space="preserve">: the Precedence field allows to define a priority for each route group in the Restriction Group. This is useful when there are at least two routes that overlap to ensure that the right route will be selected. For two matching routes in distinct route groups, setting a smaller precedence to a route group ensures that the route of this group will be used. Therefore, the SOP will not necessarily select the route based on the longest matching prefix.</w:t>
      </w:r>
    </w:p>
    <w:p>
      <w:pPr>
        <w:spacing w:before="200" w:after="0" w:line="240"/>
        <w:ind w:right="0" w:left="0" w:firstLine="0"/>
        <w:jc w:val="both"/>
        <w:rPr>
          <w:rFonts w:ascii="Cambria" w:hAnsi="Cambria" w:cs="Cambria" w:eastAsia="Cambria"/>
          <w:b/>
          <w:i/>
          <w:color w:val="4F81BD"/>
          <w:spacing w:val="0"/>
          <w:position w:val="0"/>
          <w:sz w:val="22"/>
          <w:shd w:fill="auto" w:val="clear"/>
        </w:rPr>
      </w:pPr>
      <w:r>
        <w:rPr>
          <w:rFonts w:ascii="Cambria" w:hAnsi="Cambria" w:cs="Cambria" w:eastAsia="Cambria"/>
          <w:b/>
          <w:i/>
          <w:color w:val="4F81BD"/>
          <w:spacing w:val="0"/>
          <w:position w:val="0"/>
          <w:sz w:val="22"/>
          <w:shd w:fill="auto" w:val="clear"/>
        </w:rPr>
        <w:t xml:space="preserve">Route</w:t>
      </w:r>
    </w:p>
    <w:p>
      <w:pPr>
        <w:spacing w:before="0" w:after="120" w:line="24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 SMP GUI: Call Routing -&gt; Route</w:t>
      </w:r>
    </w:p>
    <w:p>
      <w:pPr>
        <w:spacing w:before="0" w:after="120" w:line="240"/>
        <w:ind w:right="0" w:left="0" w:firstLine="0"/>
        <w:jc w:val="both"/>
        <w:rPr>
          <w:rFonts w:ascii="Arial" w:hAnsi="Arial" w:cs="Arial" w:eastAsia="Arial"/>
          <w:color w:val="000000"/>
          <w:spacing w:val="0"/>
          <w:position w:val="0"/>
          <w:sz w:val="22"/>
          <w:shd w:fill="FFFFFF" w:val="clear"/>
        </w:rPr>
      </w:pPr>
      <w:r>
        <w:rPr>
          <w:rFonts w:ascii="Arial" w:hAnsi="Arial" w:cs="Arial" w:eastAsia="Arial"/>
          <w:color w:val="000000"/>
          <w:spacing w:val="0"/>
          <w:position w:val="0"/>
          <w:sz w:val="22"/>
          <w:shd w:fill="FFFFFF" w:val="clear"/>
        </w:rPr>
        <w:t xml:space="preserve">A route maps a phone number pattern (for example, all numbers starting with 0049*) to an action. </w:t>
      </w:r>
    </w:p>
    <w:p>
      <w:pPr>
        <w:spacing w:before="0" w:after="120" w:line="240"/>
        <w:ind w:right="0" w:left="0" w:firstLine="0"/>
        <w:jc w:val="both"/>
        <w:rPr>
          <w:rFonts w:ascii="Arial" w:hAnsi="Arial" w:cs="Arial" w:eastAsia="Arial"/>
          <w:color w:val="000000"/>
          <w:spacing w:val="0"/>
          <w:position w:val="0"/>
          <w:sz w:val="22"/>
          <w:shd w:fill="FFFFFF" w:val="clear"/>
        </w:rPr>
      </w:pPr>
      <w:r>
        <w:rPr>
          <w:rFonts w:ascii="Arial" w:hAnsi="Arial" w:cs="Arial" w:eastAsia="Arial"/>
          <w:color w:val="000000"/>
          <w:spacing w:val="0"/>
          <w:position w:val="0"/>
          <w:sz w:val="22"/>
          <w:shd w:fill="FFFFFF" w:val="clear"/>
        </w:rPr>
        <w:t xml:space="preserve">To make patterns, following special characters can be used:</w:t>
      </w:r>
    </w:p>
    <w:p>
      <w:pPr>
        <w:numPr>
          <w:ilvl w:val="0"/>
          <w:numId w:val="253"/>
        </w:numPr>
        <w:tabs>
          <w:tab w:val="left" w:pos="0" w:leader="none"/>
        </w:tabs>
        <w:spacing w:before="100" w:after="10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X matches any digit from 0-9</w:t>
      </w:r>
    </w:p>
    <w:p>
      <w:pPr>
        <w:numPr>
          <w:ilvl w:val="0"/>
          <w:numId w:val="253"/>
        </w:numPr>
        <w:tabs>
          <w:tab w:val="left" w:pos="0" w:leader="none"/>
        </w:tabs>
        <w:spacing w:before="100" w:after="10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Z matches any digit from 1-9</w:t>
      </w:r>
    </w:p>
    <w:p>
      <w:pPr>
        <w:numPr>
          <w:ilvl w:val="0"/>
          <w:numId w:val="253"/>
        </w:numPr>
        <w:tabs>
          <w:tab w:val="left" w:pos="0" w:leader="none"/>
        </w:tabs>
        <w:spacing w:before="100" w:after="10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N matches any digit from 2-9</w:t>
      </w:r>
    </w:p>
    <w:p>
      <w:pPr>
        <w:numPr>
          <w:ilvl w:val="0"/>
          <w:numId w:val="253"/>
        </w:numPr>
        <w:tabs>
          <w:tab w:val="left" w:pos="0" w:leader="none"/>
        </w:tabs>
        <w:spacing w:before="100" w:after="10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[1237-9] matches any digit or letter in the brackets (in this example, 1,2,3,7,8,9)</w:t>
      </w:r>
    </w:p>
    <w:p>
      <w:pPr>
        <w:numPr>
          <w:ilvl w:val="0"/>
          <w:numId w:val="253"/>
        </w:numPr>
        <w:tabs>
          <w:tab w:val="left" w:pos="0" w:leader="none"/>
        </w:tabs>
        <w:spacing w:before="100" w:after="10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 wildcard, matches one or more characters</w:t>
      </w:r>
    </w:p>
    <w:p>
      <w:pPr>
        <w:numPr>
          <w:ilvl w:val="0"/>
          <w:numId w:val="253"/>
        </w:numPr>
        <w:tabs>
          <w:tab w:val="left" w:pos="0" w:leader="none"/>
        </w:tabs>
        <w:spacing w:before="100" w:after="10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 wildcard, matches zero or more characters</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Arial" w:hAnsi="Arial" w:cs="Arial" w:eastAsia="Arial"/>
          <w:color w:val="000000"/>
          <w:spacing w:val="0"/>
          <w:position w:val="0"/>
          <w:sz w:val="22"/>
          <w:shd w:fill="FFFFFF" w:val="clear"/>
        </w:rPr>
      </w:pPr>
      <w:r>
        <w:rPr>
          <w:rFonts w:ascii="Arial" w:hAnsi="Arial" w:cs="Arial" w:eastAsia="Arial"/>
          <w:color w:val="000000"/>
          <w:spacing w:val="0"/>
          <w:position w:val="0"/>
          <w:sz w:val="22"/>
          <w:shd w:fill="FFFFFF" w:val="clear"/>
        </w:rPr>
        <w:t xml:space="preserve">In the example used in this document, a route can be part of one of the route group shown in </w:t>
      </w:r>
      <w:r>
        <w:rPr>
          <w:rFonts w:ascii="Calibri" w:hAnsi="Calibri" w:cs="Calibri" w:eastAsia="Calibri"/>
          <w:color w:val="auto"/>
          <w:spacing w:val="0"/>
          <w:position w:val="0"/>
          <w:sz w:val="22"/>
          <w:shd w:fill="auto" w:val="clear"/>
        </w:rPr>
        <w:t xml:space="preserve">Figure 13</w:t>
      </w:r>
      <w:r>
        <w:rPr>
          <w:rFonts w:ascii="Arial" w:hAnsi="Arial" w:cs="Arial" w:eastAsia="Arial"/>
          <w:color w:val="000000"/>
          <w:spacing w:val="0"/>
          <w:position w:val="0"/>
          <w:sz w:val="22"/>
          <w:shd w:fill="FFFFFF" w:val="clear"/>
        </w:rPr>
        <w:t xml:space="preserve"> (mobile, emergency, …). For breakout, the Action should be set to Goto.DefaultOut.1.1 in order to eventually reach the OutgoingCallCatcher service callflow described in section 5.1.4)</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5669">
          <v:rect xmlns:o="urn:schemas-microsoft-com:office:office" xmlns:v="urn:schemas-microsoft-com:vml" id="rectole0000000022" style="width:398.200000pt;height:283.4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2" ShapeID="rectole0000000022" r:id="docRId46"/>
        </w:objec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5955">
          <v:rect xmlns:o="urn:schemas-microsoft-com:office:office" xmlns:v="urn:schemas-microsoft-com:vml" id="rectole0000000023" style="width:398.200000pt;height:297.7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3" ShapeID="rectole0000000023" r:id="docRId48"/>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 Figure : Routes</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200" w:after="0" w:line="240"/>
        <w:ind w:right="0" w:left="0" w:firstLine="0"/>
        <w:jc w:val="both"/>
        <w:rPr>
          <w:rFonts w:ascii="Cambria" w:hAnsi="Cambria" w:cs="Cambria" w:eastAsia="Cambria"/>
          <w:b/>
          <w:i/>
          <w:color w:val="4F81BD"/>
          <w:spacing w:val="0"/>
          <w:position w:val="0"/>
          <w:sz w:val="22"/>
          <w:shd w:fill="auto" w:val="clear"/>
        </w:rPr>
      </w:pPr>
      <w:r>
        <w:rPr>
          <w:rFonts w:ascii="Cambria" w:hAnsi="Cambria" w:cs="Cambria" w:eastAsia="Cambria"/>
          <w:b/>
          <w:i/>
          <w:color w:val="4F81BD"/>
          <w:spacing w:val="0"/>
          <w:position w:val="0"/>
          <w:sz w:val="22"/>
          <w:shd w:fill="auto" w:val="clear"/>
        </w:rPr>
        <w:t xml:space="preserve">Incoming number mapping</w:t>
      </w:r>
    </w:p>
    <w:p>
      <w:pPr>
        <w:spacing w:before="0" w:after="120" w:line="24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 SMP GUI: Call Routing -&gt; Incoming number mapping</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Mapping incoming calls comes down to routing the incoming DDI numbers that you received from your phone operator to internal extensions. This can be done using an action, as shown in the list of the incoming number mapping:</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3105">
          <v:rect xmlns:o="urn:schemas-microsoft-com:office:office" xmlns:v="urn:schemas-microsoft-com:vml" id="rectole0000000024" style="width:398.200000pt;height:155.2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4" ShapeID="rectole0000000024" r:id="docRId50"/>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External Number Mapping</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Mapping these numbers onto an internal extension, you can trigger a phone (or a root extension (call flow) for automatic answering of calls). The following screenshot shows the detailed view when modifying or adding a mapping:</w:t>
      </w: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2880">
          <v:rect xmlns:o="urn:schemas-microsoft-com:office:office" xmlns:v="urn:schemas-microsoft-com:vml" id="rectole0000000025" style="width:398.200000pt;height:144.0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5" ShapeID="rectole0000000025" r:id="docRId52"/>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External Number Mapping details</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200" w:after="0" w:line="240"/>
        <w:ind w:right="0" w:left="0" w:firstLine="0"/>
        <w:jc w:val="both"/>
        <w:rPr>
          <w:rFonts w:ascii="Cambria" w:hAnsi="Cambria" w:cs="Cambria" w:eastAsia="Cambria"/>
          <w:b/>
          <w:i/>
          <w:color w:val="4F81BD"/>
          <w:spacing w:val="0"/>
          <w:position w:val="0"/>
          <w:sz w:val="22"/>
          <w:shd w:fill="auto" w:val="clear"/>
        </w:rPr>
      </w:pPr>
      <w:r>
        <w:rPr>
          <w:rFonts w:ascii="Cambria" w:hAnsi="Cambria" w:cs="Cambria" w:eastAsia="Cambria"/>
          <w:b/>
          <w:i/>
          <w:color w:val="4F81BD"/>
          <w:spacing w:val="0"/>
          <w:position w:val="0"/>
          <w:sz w:val="22"/>
          <w:shd w:fill="auto" w:val="clear"/>
        </w:rPr>
        <w:t xml:space="preserve">Outgoing number mapping</w:t>
      </w:r>
    </w:p>
    <w:p>
      <w:pPr>
        <w:spacing w:before="0" w:after="120" w:line="240"/>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 SMP GUI: Call Routing -&gt; Outgoing number mapping</w:t>
      </w:r>
    </w:p>
    <w:p>
      <w:pPr>
        <w:spacing w:before="0" w:after="120" w:line="240"/>
        <w:ind w:right="0" w:left="0" w:firstLine="0"/>
        <w:jc w:val="both"/>
        <w:rPr>
          <w:rFonts w:ascii="Arial" w:hAnsi="Arial" w:cs="Arial" w:eastAsia="Arial"/>
          <w:color w:val="000000"/>
          <w:spacing w:val="0"/>
          <w:position w:val="0"/>
          <w:sz w:val="22"/>
          <w:shd w:fill="FFFFFF" w:val="clear"/>
        </w:rPr>
      </w:pPr>
      <w:r>
        <w:rPr>
          <w:rFonts w:ascii="Arial" w:hAnsi="Arial" w:cs="Arial" w:eastAsia="Arial"/>
          <w:color w:val="000000"/>
          <w:spacing w:val="0"/>
          <w:position w:val="0"/>
          <w:sz w:val="22"/>
          <w:shd w:fill="FFFFFF" w:val="clear"/>
        </w:rPr>
        <w:t xml:space="preserve">When dialing out, you can assign an external number that will be showed to the external contact, or you can choose to hide your number. There are five possibilities that you can select in the SMP:</w:t>
      </w:r>
    </w:p>
    <w:p>
      <w:pPr>
        <w:numPr>
          <w:ilvl w:val="0"/>
          <w:numId w:val="26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b/>
          <w:color w:val="000000"/>
          <w:spacing w:val="0"/>
          <w:position w:val="0"/>
          <w:sz w:val="22"/>
          <w:shd w:fill="auto" w:val="clear"/>
        </w:rPr>
        <w:t xml:space="preserve">Existing</w:t>
      </w:r>
      <w:r>
        <w:rPr>
          <w:rFonts w:ascii="Arial" w:hAnsi="Arial" w:cs="Arial" w:eastAsia="Arial"/>
          <w:color w:val="000000"/>
          <w:spacing w:val="0"/>
          <w:position w:val="0"/>
          <w:sz w:val="22"/>
          <w:shd w:fill="auto" w:val="clear"/>
        </w:rPr>
        <w:t xml:space="preserve">: reuse the one that is currently configured.</w:t>
      </w:r>
    </w:p>
    <w:p>
      <w:pPr>
        <w:numPr>
          <w:ilvl w:val="0"/>
          <w:numId w:val="26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b/>
          <w:color w:val="000000"/>
          <w:spacing w:val="0"/>
          <w:position w:val="0"/>
          <w:sz w:val="22"/>
          <w:shd w:fill="auto" w:val="clear"/>
        </w:rPr>
        <w:t xml:space="preserve">Hide</w:t>
      </w:r>
      <w:r>
        <w:rPr>
          <w:rFonts w:ascii="Arial" w:hAnsi="Arial" w:cs="Arial" w:eastAsia="Arial"/>
          <w:color w:val="000000"/>
          <w:spacing w:val="0"/>
          <w:position w:val="0"/>
          <w:sz w:val="22"/>
          <w:shd w:fill="auto" w:val="clear"/>
        </w:rPr>
        <w:t xml:space="preserve">: don't show any number when dialling out.</w:t>
      </w:r>
    </w:p>
    <w:p>
      <w:pPr>
        <w:numPr>
          <w:ilvl w:val="0"/>
          <w:numId w:val="26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b/>
          <w:color w:val="000000"/>
          <w:spacing w:val="0"/>
          <w:position w:val="0"/>
          <w:sz w:val="22"/>
          <w:shd w:fill="auto" w:val="clear"/>
        </w:rPr>
        <w:t xml:space="preserve">Incoming</w:t>
      </w:r>
      <w:r>
        <w:rPr>
          <w:rFonts w:ascii="Arial" w:hAnsi="Arial" w:cs="Arial" w:eastAsia="Arial"/>
          <w:color w:val="000000"/>
          <w:spacing w:val="0"/>
          <w:position w:val="0"/>
          <w:sz w:val="22"/>
          <w:shd w:fill="auto" w:val="clear"/>
        </w:rPr>
        <w:t xml:space="preserve">: use the same number as the one your contacts use to call you directly (DDI).</w:t>
      </w:r>
    </w:p>
    <w:p>
      <w:pPr>
        <w:numPr>
          <w:ilvl w:val="0"/>
          <w:numId w:val="26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b/>
          <w:color w:val="000000"/>
          <w:spacing w:val="0"/>
          <w:position w:val="0"/>
          <w:sz w:val="22"/>
          <w:shd w:fill="auto" w:val="clear"/>
        </w:rPr>
        <w:t xml:space="preserve">Default</w:t>
      </w:r>
      <w:r>
        <w:rPr>
          <w:rFonts w:ascii="Arial" w:hAnsi="Arial" w:cs="Arial" w:eastAsia="Arial"/>
          <w:color w:val="000000"/>
          <w:spacing w:val="0"/>
          <w:position w:val="0"/>
          <w:sz w:val="22"/>
          <w:shd w:fill="auto" w:val="clear"/>
        </w:rPr>
        <w:t xml:space="preserve">: use a default number, e.g. the main reception number.</w:t>
      </w:r>
    </w:p>
    <w:p>
      <w:pPr>
        <w:numPr>
          <w:ilvl w:val="0"/>
          <w:numId w:val="26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b/>
          <w:color w:val="000000"/>
          <w:spacing w:val="0"/>
          <w:position w:val="0"/>
          <w:sz w:val="22"/>
          <w:shd w:fill="auto" w:val="clear"/>
        </w:rPr>
        <w:t xml:space="preserve">Other</w:t>
      </w:r>
      <w:r>
        <w:rPr>
          <w:rFonts w:ascii="Arial" w:hAnsi="Arial" w:cs="Arial" w:eastAsia="Arial"/>
          <w:color w:val="000000"/>
          <w:spacing w:val="0"/>
          <w:position w:val="0"/>
          <w:sz w:val="22"/>
          <w:shd w:fill="auto" w:val="clear"/>
        </w:rPr>
        <w:t xml:space="preserve">: enter any other number. Of course, limitations apply: you can only use numbers that your operator allows you to use.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r>
        <w:object w:dxaOrig="7964" w:dyaOrig="4784">
          <v:rect xmlns:o="urn:schemas-microsoft-com:office:office" xmlns:v="urn:schemas-microsoft-com:vml" id="rectole0000000026" style="width:398.200000pt;height:239.2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6" ShapeID="rectole0000000026" r:id="docRId54"/>
        </w:objec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80" w:after="200" w:line="240"/>
        <w:ind w:right="0" w:left="0" w:firstLine="0"/>
        <w:jc w:val="both"/>
        <w:rPr>
          <w:rFonts w:ascii="Arial" w:hAnsi="Arial" w:cs="Arial" w:eastAsia="Arial"/>
          <w:b/>
          <w:color w:val="365F91"/>
          <w:spacing w:val="0"/>
          <w:position w:val="0"/>
          <w:sz w:val="28"/>
          <w:shd w:fill="auto" w:val="clear"/>
        </w:rPr>
      </w:pPr>
      <w:r>
        <w:rPr>
          <w:rFonts w:ascii="Arial" w:hAnsi="Arial" w:cs="Arial" w:eastAsia="Arial"/>
          <w:b/>
          <w:color w:val="365F91"/>
          <w:spacing w:val="0"/>
          <w:position w:val="0"/>
          <w:sz w:val="28"/>
          <w:shd w:fill="auto" w:val="clear"/>
        </w:rPr>
        <w:t xml:space="preserve">ANNEX 1 Call Flows</w:t>
      </w:r>
    </w:p>
    <w:p>
      <w:pPr>
        <w:spacing w:before="400" w:after="200" w:line="240"/>
        <w:ind w:right="0" w:left="0" w:firstLine="0"/>
        <w:jc w:val="both"/>
        <w:rPr>
          <w:rFonts w:ascii="Arial" w:hAnsi="Arial" w:cs="Arial" w:eastAsia="Arial"/>
          <w:b/>
          <w:color w:val="3F70AB"/>
          <w:spacing w:val="0"/>
          <w:position w:val="0"/>
          <w:sz w:val="26"/>
          <w:shd w:fill="auto" w:val="clear"/>
        </w:rPr>
      </w:pPr>
      <w:r>
        <w:rPr>
          <w:rFonts w:ascii="Arial" w:hAnsi="Arial" w:cs="Arial" w:eastAsia="Arial"/>
          <w:b/>
          <w:color w:val="3F70AB"/>
          <w:spacing w:val="0"/>
          <w:position w:val="0"/>
          <w:sz w:val="26"/>
          <w:shd w:fill="auto" w:val="clear"/>
        </w:rPr>
        <w:t xml:space="preserve">Registration</w:t>
      </w:r>
    </w:p>
    <w:p>
      <w:pPr>
        <w:spacing w:before="0" w:after="120" w:line="240"/>
        <w:ind w:right="0" w:left="0" w:firstLine="0"/>
        <w:jc w:val="center"/>
        <w:rPr>
          <w:rFonts w:ascii="Calibri" w:hAnsi="Calibri" w:cs="Calibri" w:eastAsia="Calibri"/>
          <w:color w:val="auto"/>
          <w:spacing w:val="0"/>
          <w:position w:val="0"/>
          <w:sz w:val="22"/>
          <w:shd w:fill="auto" w:val="clear"/>
        </w:rPr>
      </w:pPr>
      <w:r>
        <w:object w:dxaOrig="5220" w:dyaOrig="3555">
          <v:rect xmlns:o="urn:schemas-microsoft-com:office:office" xmlns:v="urn:schemas-microsoft-com:vml" id="rectole0000000027" style="width:261.000000pt;height:177.7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7" ShapeID="rectole0000000027" r:id="docRId56"/>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Registration Call Flow</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00" w:after="200" w:line="240"/>
        <w:ind w:right="0" w:left="0" w:firstLine="0"/>
        <w:jc w:val="both"/>
        <w:rPr>
          <w:rFonts w:ascii="Arial" w:hAnsi="Arial" w:cs="Arial" w:eastAsia="Arial"/>
          <w:b/>
          <w:color w:val="3F70AB"/>
          <w:spacing w:val="0"/>
          <w:position w:val="0"/>
          <w:sz w:val="26"/>
          <w:shd w:fill="auto" w:val="clear"/>
        </w:rPr>
      </w:pPr>
      <w:r>
        <w:rPr>
          <w:rFonts w:ascii="Arial" w:hAnsi="Arial" w:cs="Arial" w:eastAsia="Arial"/>
          <w:b/>
          <w:color w:val="3F70AB"/>
          <w:spacing w:val="0"/>
          <w:position w:val="0"/>
          <w:sz w:val="26"/>
          <w:shd w:fill="auto" w:val="clear"/>
        </w:rPr>
        <w:t xml:space="preserve">Basic outgoing call</w:t>
      </w:r>
    </w:p>
    <w:p>
      <w:pPr>
        <w:spacing w:before="0" w:after="120" w:line="240"/>
        <w:ind w:right="0" w:left="0" w:firstLine="0"/>
        <w:jc w:val="center"/>
        <w:rPr>
          <w:rFonts w:ascii="Calibri" w:hAnsi="Calibri" w:cs="Calibri" w:eastAsia="Calibri"/>
          <w:color w:val="auto"/>
          <w:spacing w:val="0"/>
          <w:position w:val="0"/>
          <w:sz w:val="22"/>
          <w:shd w:fill="auto" w:val="clear"/>
        </w:rPr>
      </w:pPr>
      <w:r>
        <w:object w:dxaOrig="6180" w:dyaOrig="6735">
          <v:rect xmlns:o="urn:schemas-microsoft-com:office:office" xmlns:v="urn:schemas-microsoft-com:vml" id="rectole0000000028" style="width:309.000000pt;height:336.7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8" ShapeID="rectole0000000028" r:id="docRId58"/>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Outgoing Call Flow</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00" w:after="200" w:line="240"/>
        <w:ind w:right="0" w:left="0" w:firstLine="0"/>
        <w:jc w:val="both"/>
        <w:rPr>
          <w:rFonts w:ascii="Arial" w:hAnsi="Arial" w:cs="Arial" w:eastAsia="Arial"/>
          <w:b/>
          <w:color w:val="3F70AB"/>
          <w:spacing w:val="0"/>
          <w:position w:val="0"/>
          <w:sz w:val="26"/>
          <w:shd w:fill="auto" w:val="clear"/>
        </w:rPr>
      </w:pPr>
      <w:r>
        <w:rPr>
          <w:rFonts w:ascii="Arial" w:hAnsi="Arial" w:cs="Arial" w:eastAsia="Arial"/>
          <w:b/>
          <w:color w:val="3F70AB"/>
          <w:spacing w:val="0"/>
          <w:position w:val="0"/>
          <w:sz w:val="26"/>
          <w:shd w:fill="auto" w:val="clear"/>
        </w:rPr>
        <w:t xml:space="preserve">Basic incoming call</w:t>
      </w:r>
    </w:p>
    <w:p>
      <w:pPr>
        <w:spacing w:before="0" w:after="120" w:line="240"/>
        <w:ind w:right="0" w:left="0" w:firstLine="0"/>
        <w:jc w:val="center"/>
        <w:rPr>
          <w:rFonts w:ascii="Calibri" w:hAnsi="Calibri" w:cs="Calibri" w:eastAsia="Calibri"/>
          <w:color w:val="auto"/>
          <w:spacing w:val="0"/>
          <w:position w:val="0"/>
          <w:sz w:val="22"/>
          <w:shd w:fill="auto" w:val="clear"/>
        </w:rPr>
      </w:pPr>
      <w:r>
        <w:object w:dxaOrig="5265" w:dyaOrig="4589">
          <v:rect xmlns:o="urn:schemas-microsoft-com:office:office" xmlns:v="urn:schemas-microsoft-com:vml" id="rectole0000000029" style="width:263.250000pt;height:229.4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29" ShapeID="rectole0000000029" r:id="docRId60"/>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Incoming Call Flow</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400" w:after="200" w:line="240"/>
        <w:ind w:right="0" w:left="0" w:firstLine="0"/>
        <w:jc w:val="both"/>
        <w:rPr>
          <w:rFonts w:ascii="Arial" w:hAnsi="Arial" w:cs="Arial" w:eastAsia="Arial"/>
          <w:b/>
          <w:color w:val="3F70AB"/>
          <w:spacing w:val="0"/>
          <w:position w:val="0"/>
          <w:sz w:val="26"/>
          <w:shd w:fill="auto" w:val="clear"/>
        </w:rPr>
      </w:pPr>
      <w:r>
        <w:rPr>
          <w:rFonts w:ascii="Arial" w:hAnsi="Arial" w:cs="Arial" w:eastAsia="Arial"/>
          <w:b/>
          <w:color w:val="3F70AB"/>
          <w:spacing w:val="0"/>
          <w:position w:val="0"/>
          <w:sz w:val="26"/>
          <w:shd w:fill="auto" w:val="clear"/>
        </w:rPr>
        <w:t xml:space="preserve">Blind call transfer</w:t>
      </w:r>
    </w:p>
    <w:p>
      <w:pPr>
        <w:spacing w:before="0" w:after="12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This call flow describes a scenario of a PSTN user A calling a user B behind the UCS. User B transfers blindly to PSTN user C. Note that the Media is anchored by the UCS after the transfer.</w:t>
      </w:r>
    </w:p>
    <w:p>
      <w:pPr>
        <w:spacing w:before="0" w:after="120" w:line="240"/>
        <w:ind w:right="0" w:left="0" w:firstLine="0"/>
        <w:jc w:val="center"/>
        <w:rPr>
          <w:rFonts w:ascii="Calibri" w:hAnsi="Calibri" w:cs="Calibri" w:eastAsia="Calibri"/>
          <w:color w:val="auto"/>
          <w:spacing w:val="0"/>
          <w:position w:val="0"/>
          <w:sz w:val="22"/>
          <w:shd w:fill="auto" w:val="clear"/>
        </w:rPr>
      </w:pPr>
      <w:r>
        <w:object w:dxaOrig="5729" w:dyaOrig="10995">
          <v:rect xmlns:o="urn:schemas-microsoft-com:office:office" xmlns:v="urn:schemas-microsoft-com:vml" id="rectole0000000030" style="width:286.450000pt;height:549.7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0" ShapeID="rectole0000000030" r:id="docRId62"/>
        </w:object>
      </w:r>
    </w:p>
    <w:p>
      <w:pPr>
        <w:spacing w:before="0" w:after="200" w:line="240"/>
        <w:ind w:right="0" w:left="360" w:firstLine="0"/>
        <w:jc w:val="center"/>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Figure : Blind Transfer Call Flow</w:t>
      </w:r>
    </w:p>
    <w:p>
      <w:pPr>
        <w:spacing w:before="0" w:after="120" w:line="240"/>
        <w:ind w:right="0" w:left="0" w:firstLine="0"/>
        <w:jc w:val="both"/>
        <w:rPr>
          <w:rFonts w:ascii="Calibri" w:hAnsi="Calibri" w:cs="Calibri" w:eastAsia="Calibri"/>
          <w:color w:val="auto"/>
          <w:spacing w:val="0"/>
          <w:position w:val="0"/>
          <w:sz w:val="22"/>
          <w:shd w:fill="auto" w:val="clear"/>
        </w:rPr>
      </w:pPr>
    </w:p>
    <w:p>
      <w:pPr>
        <w:spacing w:before="0" w:after="120" w:line="240"/>
        <w:ind w:right="0" w:left="0" w:firstLine="0"/>
        <w:jc w:val="both"/>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num w:numId="48">
    <w:abstractNumId w:val="42"/>
  </w:num>
  <w:num w:numId="102">
    <w:abstractNumId w:val="36"/>
  </w:num>
  <w:num w:numId="106">
    <w:abstractNumId w:val="30"/>
  </w:num>
  <w:num w:numId="230">
    <w:abstractNumId w:val="24"/>
  </w:num>
  <w:num w:numId="245">
    <w:abstractNumId w:val="18"/>
  </w:num>
  <w:num w:numId="247">
    <w:abstractNumId w:val="12"/>
  </w:num>
  <w:num w:numId="253">
    <w:abstractNumId w:val="6"/>
  </w:num>
  <w:num w:numId="265">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6.bin" Id="docRId14" Type="http://schemas.openxmlformats.org/officeDocument/2006/relationships/oleObject"/><Relationship Target="embeddings/oleObject16.bin" Id="docRId34" Type="http://schemas.openxmlformats.org/officeDocument/2006/relationships/oleObject"/><Relationship Target="media/image22.wmf" Id="docRId47" Type="http://schemas.openxmlformats.org/officeDocument/2006/relationships/image"/><Relationship Target="media/image26.wmf" Id="docRId55" Type="http://schemas.openxmlformats.org/officeDocument/2006/relationships/image"/><Relationship Target="embeddings/oleObject30.bin" Id="docRId62" Type="http://schemas.openxmlformats.org/officeDocument/2006/relationships/oleObject"/><Relationship Target="embeddings/oleObject10.bin" Id="docRId22" Type="http://schemas.openxmlformats.org/officeDocument/2006/relationships/oleObject"/><Relationship Target="media/image3.wmf" Id="docRId9" Type="http://schemas.openxmlformats.org/officeDocument/2006/relationships/image"/><Relationship TargetMode="External" Target="https://www.escaux.com/docs/SmpAdminGuide4d10.html" Id="docRId0" Type="http://schemas.openxmlformats.org/officeDocument/2006/relationships/hyperlink"/><Relationship Target="media/image13.wmf" Id="docRId29" Type="http://schemas.openxmlformats.org/officeDocument/2006/relationships/image"/><Relationship Target="embeddings/oleObject17.bin" Id="docRId36" Type="http://schemas.openxmlformats.org/officeDocument/2006/relationships/oleObject"/><Relationship Target="media/image23.wmf" Id="docRId49" Type="http://schemas.openxmlformats.org/officeDocument/2006/relationships/image"/><Relationship Target="media/image25.wmf" Id="docRId53" Type="http://schemas.openxmlformats.org/officeDocument/2006/relationships/image"/><Relationship Target="embeddings/oleObject29.bin" Id="docRId60" Type="http://schemas.openxmlformats.org/officeDocument/2006/relationships/oleObject"/><Relationship Target="media/image5.wmf" Id="docRId13" Type="http://schemas.openxmlformats.org/officeDocument/2006/relationships/image"/><Relationship Target="embeddings/oleObject9.bin" Id="docRId20" Type="http://schemas.openxmlformats.org/officeDocument/2006/relationships/oleObject"/><Relationship Target="embeddings/oleObject19.bin" Id="docRId40" Type="http://schemas.openxmlformats.org/officeDocument/2006/relationships/oleObject"/><Relationship Target="embeddings/oleObject28.bin" Id="docRId58" Type="http://schemas.openxmlformats.org/officeDocument/2006/relationships/oleObject"/><Relationship Target="embeddings/oleObject8.bin" Id="docRId18" Type="http://schemas.openxmlformats.org/officeDocument/2006/relationships/oleObject"/><Relationship Target="media/image0.wmf" Id="docRId2" Type="http://schemas.openxmlformats.org/officeDocument/2006/relationships/image"/><Relationship Target="embeddings/oleObject18.bin" Id="docRId38" Type="http://schemas.openxmlformats.org/officeDocument/2006/relationships/oleObject"/><Relationship Target="media/image24.wmf" Id="docRId51" Type="http://schemas.openxmlformats.org/officeDocument/2006/relationships/image"/><Relationship Target="media/image4.wmf" Id="docRId11" Type="http://schemas.openxmlformats.org/officeDocument/2006/relationships/image"/><Relationship Target="embeddings/oleObject12.bin" Id="docRId26" Type="http://schemas.openxmlformats.org/officeDocument/2006/relationships/oleObject"/><Relationship Target="media/image14.wmf" Id="docRId31" Type="http://schemas.openxmlformats.org/officeDocument/2006/relationships/image"/><Relationship Target="embeddings/oleObject20.bin" Id="docRId42" Type="http://schemas.openxmlformats.org/officeDocument/2006/relationships/oleObject"/><Relationship Target="embeddings/oleObject27.bin" Id="docRId56" Type="http://schemas.openxmlformats.org/officeDocument/2006/relationships/oleObject"/><Relationship Target="styles.xml" Id="docRId65" Type="http://schemas.openxmlformats.org/officeDocument/2006/relationships/styles"/><Relationship Target="media/image1.wmf" Id="docRId4" Type="http://schemas.openxmlformats.org/officeDocument/2006/relationships/image"/><Relationship Target="media/image7.wmf" Id="docRId17" Type="http://schemas.openxmlformats.org/officeDocument/2006/relationships/image"/><Relationship Target="embeddings/oleObject11.bin" Id="docRId24" Type="http://schemas.openxmlformats.org/officeDocument/2006/relationships/oleObject"/><Relationship Target="media/image15.wmf" Id="docRId33" Type="http://schemas.openxmlformats.org/officeDocument/2006/relationships/image"/><Relationship Target="embeddings/oleObject21.bin" Id="docRId44" Type="http://schemas.openxmlformats.org/officeDocument/2006/relationships/oleObject"/><Relationship Target="embeddings/oleObject26.bin" Id="docRId54" Type="http://schemas.openxmlformats.org/officeDocument/2006/relationships/oleObject"/><Relationship Target="media/image30.wmf" Id="docRId63" Type="http://schemas.openxmlformats.org/officeDocument/2006/relationships/image"/><Relationship Target="media/image10.wmf" Id="docRId23" Type="http://schemas.openxmlformats.org/officeDocument/2006/relationships/image"/><Relationship Target="media/image2.wmf" Id="docRId6" Type="http://schemas.openxmlformats.org/officeDocument/2006/relationships/image"/><Relationship Target="embeddings/oleObject0.bin" Id="docRId1" Type="http://schemas.openxmlformats.org/officeDocument/2006/relationships/oleObject"/><Relationship Target="media/image6.wmf" Id="docRId15" Type="http://schemas.openxmlformats.org/officeDocument/2006/relationships/image"/><Relationship Target="media/image16.wmf" Id="docRId35" Type="http://schemas.openxmlformats.org/officeDocument/2006/relationships/image"/><Relationship Target="embeddings/oleObject22.bin" Id="docRId46" Type="http://schemas.openxmlformats.org/officeDocument/2006/relationships/oleObject"/><Relationship Target="embeddings/oleObject25.bin" Id="docRId52" Type="http://schemas.openxmlformats.org/officeDocument/2006/relationships/oleObject"/><Relationship Target="media/image29.wmf" Id="docRId61" Type="http://schemas.openxmlformats.org/officeDocument/2006/relationships/image"/><Relationship Target="embeddings/oleObject5.bin" Id="docRId12" Type="http://schemas.openxmlformats.org/officeDocument/2006/relationships/oleObject"/><Relationship Target="media/image9.wmf" Id="docRId21" Type="http://schemas.openxmlformats.org/officeDocument/2006/relationships/image"/><Relationship Target="media/image19.wmf" Id="docRId41" Type="http://schemas.openxmlformats.org/officeDocument/2006/relationships/image"/><Relationship Target="embeddings/oleObject3.bin" Id="docRId8" Type="http://schemas.openxmlformats.org/officeDocument/2006/relationships/oleObject"/><Relationship Target="embeddings/oleObject13.bin" Id="docRId28" Type="http://schemas.openxmlformats.org/officeDocument/2006/relationships/oleObject"/><Relationship Target="embeddings/oleObject1.bin" Id="docRId3" Type="http://schemas.openxmlformats.org/officeDocument/2006/relationships/oleObject"/><Relationship Target="media/image17.wmf" Id="docRId37" Type="http://schemas.openxmlformats.org/officeDocument/2006/relationships/image"/><Relationship Target="embeddings/oleObject23.bin" Id="docRId48" Type="http://schemas.openxmlformats.org/officeDocument/2006/relationships/oleObject"/><Relationship Target="embeddings/oleObject24.bin" Id="docRId50" Type="http://schemas.openxmlformats.org/officeDocument/2006/relationships/oleObject"/><Relationship Target="embeddings/oleObject4.bin" Id="docRId10" Type="http://schemas.openxmlformats.org/officeDocument/2006/relationships/oleObject"/><Relationship Target="media/image12.wmf" Id="docRId27" Type="http://schemas.openxmlformats.org/officeDocument/2006/relationships/image"/><Relationship Target="embeddings/oleObject14.bin" Id="docRId30" Type="http://schemas.openxmlformats.org/officeDocument/2006/relationships/oleObject"/><Relationship Target="media/image20.wmf" Id="docRId43" Type="http://schemas.openxmlformats.org/officeDocument/2006/relationships/image"/><Relationship Target="media/image28.wmf" Id="docRId59" Type="http://schemas.openxmlformats.org/officeDocument/2006/relationships/image"/><Relationship Target="media/image8.wmf" Id="docRId19" Type="http://schemas.openxmlformats.org/officeDocument/2006/relationships/image"/><Relationship Target="media/image18.wmf" Id="docRId39" Type="http://schemas.openxmlformats.org/officeDocument/2006/relationships/image"/><Relationship Target="embeddings/oleObject2.bin" Id="docRId5" Type="http://schemas.openxmlformats.org/officeDocument/2006/relationships/oleObject"/><Relationship Target="embeddings/oleObject7.bin" Id="docRId16" Type="http://schemas.openxmlformats.org/officeDocument/2006/relationships/oleObject"/><Relationship Target="media/image11.wmf" Id="docRId25" Type="http://schemas.openxmlformats.org/officeDocument/2006/relationships/image"/><Relationship Target="embeddings/oleObject15.bin" Id="docRId32" Type="http://schemas.openxmlformats.org/officeDocument/2006/relationships/oleObject"/><Relationship Target="media/image21.wmf" Id="docRId45" Type="http://schemas.openxmlformats.org/officeDocument/2006/relationships/image"/><Relationship Target="media/image27.wmf" Id="docRId57" Type="http://schemas.openxmlformats.org/officeDocument/2006/relationships/image"/><Relationship Target="numbering.xml" Id="docRId64" Type="http://schemas.openxmlformats.org/officeDocument/2006/relationships/numbering"/><Relationship TargetMode="External" Target="mailto:040000940-040000941-NDG@sip.mobistar.be" Id="docRId7" Type="http://schemas.openxmlformats.org/officeDocument/2006/relationships/hyperlink"/></Relationships>
</file>